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BE16BF">
      <w:pPr>
        <w:widowControl/>
        <w:shd w:val="clear" w:color="auto" w:fill="FFFFFF"/>
        <w:jc w:val="center"/>
        <w:outlineLvl w:val="0"/>
        <w:rPr>
          <w:rFonts w:ascii="仿宋" w:hAnsi="仿宋" w:eastAsia="仿宋" w:cs="仿宋"/>
          <w:b/>
          <w:bCs/>
          <w:kern w:val="0"/>
          <w:sz w:val="40"/>
          <w:szCs w:val="40"/>
          <w:highlight w:val="none"/>
          <w:shd w:val="clear" w:color="auto" w:fill="FFFFFF"/>
          <w:lang w:bidi="ar"/>
        </w:rPr>
      </w:pPr>
      <w:r>
        <w:rPr>
          <w:rFonts w:hint="eastAsia" w:ascii="仿宋" w:hAnsi="仿宋" w:eastAsia="仿宋" w:cs="仿宋"/>
          <w:b/>
          <w:bCs/>
          <w:kern w:val="0"/>
          <w:sz w:val="40"/>
          <w:szCs w:val="40"/>
          <w:highlight w:val="none"/>
          <w:shd w:val="clear" w:color="auto" w:fill="FFFFFF"/>
          <w:lang w:val="en-US" w:eastAsia="zh-CN" w:bidi="ar"/>
        </w:rPr>
        <w:t>惠州</w:t>
      </w:r>
      <w:bookmarkStart w:id="0" w:name="_GoBack"/>
      <w:r>
        <w:rPr>
          <w:rFonts w:hint="eastAsia" w:ascii="仿宋" w:hAnsi="仿宋" w:eastAsia="仿宋" w:cs="仿宋"/>
          <w:b/>
          <w:bCs/>
          <w:kern w:val="0"/>
          <w:sz w:val="40"/>
          <w:szCs w:val="40"/>
          <w:highlight w:val="none"/>
          <w:shd w:val="clear" w:color="auto" w:fill="FFFFFF"/>
          <w:lang w:val="en-US" w:eastAsia="zh-CN" w:bidi="ar"/>
        </w:rPr>
        <w:t>1处商服用地、1处商业、1处办公、4处车库、1个股权以及广州1处商业为抵质押单户债权</w:t>
      </w:r>
      <w:r>
        <w:rPr>
          <w:rFonts w:hint="eastAsia" w:ascii="仿宋" w:hAnsi="仿宋" w:eastAsia="仿宋" w:cs="仿宋"/>
          <w:b/>
          <w:bCs/>
          <w:kern w:val="0"/>
          <w:sz w:val="40"/>
          <w:szCs w:val="40"/>
          <w:highlight w:val="none"/>
          <w:shd w:val="clear" w:color="auto" w:fill="FFFFFF"/>
          <w:lang w:bidi="ar"/>
        </w:rPr>
        <w:t>竞买公告</w:t>
      </w:r>
    </w:p>
    <w:bookmarkEnd w:id="0"/>
    <w:p w14:paraId="40D018F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u w:val="single"/>
          <w:shd w:val="clear" w:color="auto" w:fill="FFFFFF"/>
          <w:lang w:bidi="ar"/>
        </w:rPr>
        <w:t>广州资产管理有限公司（以下简称“广州资产”或“转让方”）</w:t>
      </w:r>
      <w:r>
        <w:rPr>
          <w:rFonts w:hint="eastAsia" w:ascii="仿宋" w:hAnsi="仿宋" w:eastAsia="仿宋" w:cs="仿宋"/>
          <w:kern w:val="0"/>
          <w:sz w:val="28"/>
          <w:szCs w:val="28"/>
          <w:highlight w:val="none"/>
          <w:shd w:val="clear" w:color="auto" w:fill="FFFFFF"/>
          <w:lang w:bidi="ar"/>
        </w:rPr>
        <w:t>将于</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12</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11</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时起至</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12</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12</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时止（如发生自动延时的，截止时间以延长后的结束时间为准）在【</w:t>
      </w:r>
      <w:r>
        <w:rPr>
          <w:rFonts w:hint="eastAsia" w:ascii="仿宋" w:hAnsi="仿宋" w:eastAsia="仿宋" w:cs="仿宋"/>
          <w:kern w:val="0"/>
          <w:sz w:val="28"/>
          <w:szCs w:val="28"/>
          <w:highlight w:val="none"/>
          <w:shd w:val="clear" w:color="auto" w:fill="FFFFFF"/>
          <w:lang w:val="en-US" w:eastAsia="zh-CN" w:bidi="ar"/>
        </w:rPr>
        <w:t>淘宝</w:t>
      </w:r>
      <w:r>
        <w:rPr>
          <w:rFonts w:hint="eastAsia" w:ascii="仿宋" w:hAnsi="仿宋" w:eastAsia="仿宋" w:cs="仿宋"/>
          <w:kern w:val="0"/>
          <w:sz w:val="28"/>
          <w:szCs w:val="28"/>
          <w:highlight w:val="none"/>
          <w:shd w:val="clear" w:color="auto" w:fill="FFFFFF"/>
          <w:lang w:bidi="ar"/>
        </w:rPr>
        <w:t>】网络平台（网址：【https://zc-paimai.taobao.com/】，以下简称“拍卖平台”）开展对</w:t>
      </w:r>
      <w:r>
        <w:rPr>
          <w:rFonts w:hint="eastAsia" w:ascii="仿宋" w:hAnsi="仿宋" w:eastAsia="仿宋" w:cs="仿宋"/>
          <w:kern w:val="0"/>
          <w:sz w:val="28"/>
          <w:szCs w:val="28"/>
          <w:highlight w:val="none"/>
          <w:u w:val="single"/>
          <w:shd w:val="clear" w:color="auto" w:fill="FFFFFF"/>
          <w:lang w:bidi="ar"/>
        </w:rPr>
        <w:t>【公开转让方式处置惠州飞扬（惠州浩华/惠州方悦）债权项目】不良债权资产（以下简称“标的资产”）</w:t>
      </w:r>
      <w:r>
        <w:rPr>
          <w:rFonts w:hint="eastAsia" w:ascii="仿宋" w:hAnsi="仿宋" w:eastAsia="仿宋" w:cs="仿宋"/>
          <w:kern w:val="0"/>
          <w:sz w:val="28"/>
          <w:szCs w:val="28"/>
          <w:highlight w:val="none"/>
          <w:shd w:val="clear" w:color="auto" w:fill="FFFFFF"/>
          <w:lang w:bidi="ar"/>
        </w:rPr>
        <w:t>的公开竞价活动，现公告如下：</w:t>
      </w:r>
    </w:p>
    <w:p w14:paraId="7BF5BCF8">
      <w:pPr>
        <w:widowControl/>
        <w:shd w:val="clear" w:color="auto" w:fill="FFFFFF"/>
        <w:spacing w:line="360" w:lineRule="auto"/>
        <w:ind w:firstLine="643" w:firstLineChars="200"/>
        <w:jc w:val="left"/>
        <w:outlineLvl w:val="1"/>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一、竞买事项</w:t>
      </w:r>
    </w:p>
    <w:p w14:paraId="285A4C6F">
      <w:pPr>
        <w:widowControl/>
        <w:shd w:val="clear" w:color="auto" w:fill="FFFFFF"/>
        <w:spacing w:line="360" w:lineRule="auto"/>
        <w:ind w:firstLine="562" w:firstLineChars="200"/>
        <w:jc w:val="left"/>
        <w:outlineLvl w:val="2"/>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（一）竞价标的资产事项</w:t>
      </w:r>
    </w:p>
    <w:p w14:paraId="4E1795B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资产信息：惠州飞扬（惠州浩华/惠州方悦）项目</w:t>
      </w:r>
      <w:r>
        <w:rPr>
          <w:rFonts w:hint="eastAsia" w:ascii="仿宋" w:hAnsi="仿宋" w:eastAsia="仿宋" w:cs="仿宋"/>
          <w:kern w:val="0"/>
          <w:sz w:val="28"/>
          <w:szCs w:val="28"/>
          <w:highlight w:val="none"/>
          <w:shd w:val="clear" w:color="auto" w:fill="FFFFFF"/>
          <w:lang w:val="en-US" w:eastAsia="zh-CN" w:bidi="ar"/>
        </w:rPr>
        <w:t>不良</w:t>
      </w:r>
      <w:r>
        <w:rPr>
          <w:rFonts w:hint="eastAsia" w:ascii="仿宋" w:hAnsi="仿宋" w:eastAsia="仿宋" w:cs="仿宋"/>
          <w:kern w:val="0"/>
          <w:sz w:val="28"/>
          <w:szCs w:val="28"/>
          <w:highlight w:val="none"/>
          <w:shd w:val="clear" w:color="auto" w:fill="FFFFFF"/>
          <w:lang w:bidi="ar"/>
        </w:rPr>
        <w:t>债权，截至基准日20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8</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31</w:t>
      </w:r>
      <w:r>
        <w:rPr>
          <w:rFonts w:hint="eastAsia" w:ascii="仿宋" w:hAnsi="仿宋" w:eastAsia="仿宋" w:cs="仿宋"/>
          <w:kern w:val="0"/>
          <w:sz w:val="28"/>
          <w:szCs w:val="28"/>
          <w:highlight w:val="none"/>
          <w:shd w:val="clear" w:color="auto" w:fill="FFFFFF"/>
          <w:lang w:bidi="ar"/>
        </w:rPr>
        <w:t>日，标的资产债权规模合计【60,730.60】万元，其中本金余额【31,992.90】万元，利息等具体以实际计算为准。</w:t>
      </w:r>
    </w:p>
    <w:p w14:paraId="1CAE7E06">
      <w:pPr>
        <w:widowControl/>
        <w:shd w:val="clear" w:color="auto" w:fill="FFFFFF"/>
        <w:spacing w:line="360" w:lineRule="auto"/>
        <w:ind w:firstLine="562" w:firstLineChars="200"/>
        <w:jc w:val="left"/>
        <w:rPr>
          <w:rFonts w:ascii="仿宋" w:hAnsi="仿宋" w:eastAsia="仿宋" w:cs="仿宋"/>
          <w:b/>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主要抵押物信息：</w:t>
      </w:r>
    </w:p>
    <w:p w14:paraId="01F88C84">
      <w:pPr>
        <w:adjustRightInd w:val="0"/>
        <w:snapToGrid w:val="0"/>
        <w:spacing w:line="66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（一）抵押物名称及地址：【惠州市金山湖(JSH-A01-07)土地】，</w:t>
      </w:r>
      <w:r>
        <w:rPr>
          <w:rFonts w:hint="eastAsia" w:ascii="仿宋_GB2312" w:hAnsi="仿宋_GB2312" w:eastAsia="仿宋_GB2312" w:cs="仿宋_GB2312"/>
          <w:sz w:val="28"/>
          <w:szCs w:val="28"/>
          <w:highlight w:val="none"/>
          <w:lang w:val="en-US" w:eastAsia="zh-CN"/>
        </w:rPr>
        <w:t>土地</w:t>
      </w:r>
      <w:r>
        <w:rPr>
          <w:rFonts w:hint="eastAsia" w:ascii="仿宋_GB2312" w:hAnsi="仿宋_GB2312" w:eastAsia="仿宋_GB2312" w:cs="仿宋_GB2312"/>
          <w:sz w:val="28"/>
          <w:szCs w:val="28"/>
          <w:highlight w:val="none"/>
        </w:rPr>
        <w:t>面积【30,223.10㎡】；</w:t>
      </w:r>
    </w:p>
    <w:p w14:paraId="6FFC97BA">
      <w:pPr>
        <w:adjustRightInd w:val="0"/>
        <w:snapToGrid w:val="0"/>
        <w:spacing w:line="66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照片：</w:t>
      </w:r>
    </w:p>
    <w:tbl>
      <w:tblPr>
        <w:tblStyle w:val="20"/>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14:paraId="0EFFABC2">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212" w:hRule="atLeast"/>
        </w:trPr>
        <w:tc>
          <w:tcPr>
            <w:tcW w:w="2500" w:type="pct"/>
            <w:tcBorders>
              <w:top w:val="dashed" w:color="auto" w:sz="4" w:space="0"/>
              <w:left w:val="dashed" w:color="auto" w:sz="4" w:space="0"/>
              <w:bottom w:val="dashed" w:color="auto" w:sz="4" w:space="0"/>
              <w:right w:val="dashed" w:color="auto" w:sz="4" w:space="0"/>
            </w:tcBorders>
            <w:vAlign w:val="center"/>
          </w:tcPr>
          <w:p w14:paraId="2D323DE5">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48890" cy="2253615"/>
                  <wp:effectExtent l="0" t="0" r="3810" b="13335"/>
                  <wp:docPr id="80" name="图片 80" descr="IMG2025010814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IMG20250108140809"/>
                          <pic:cNvPicPr>
                            <a:picLocks noChangeAspect="1"/>
                          </pic:cNvPicPr>
                        </pic:nvPicPr>
                        <pic:blipFill>
                          <a:blip r:embed="rId4"/>
                          <a:stretch>
                            <a:fillRect/>
                          </a:stretch>
                        </pic:blipFill>
                        <pic:spPr>
                          <a:xfrm>
                            <a:off x="0" y="0"/>
                            <a:ext cx="2548890" cy="2253615"/>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7B7D3FA6">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48890" cy="2268220"/>
                  <wp:effectExtent l="0" t="0" r="3810" b="17780"/>
                  <wp:docPr id="81" name="图片 81" descr="IMG2025010814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IMG20250108140812"/>
                          <pic:cNvPicPr>
                            <a:picLocks noChangeAspect="1"/>
                          </pic:cNvPicPr>
                        </pic:nvPicPr>
                        <pic:blipFill>
                          <a:blip r:embed="rId5"/>
                          <a:stretch>
                            <a:fillRect/>
                          </a:stretch>
                        </pic:blipFill>
                        <pic:spPr>
                          <a:xfrm>
                            <a:off x="0" y="0"/>
                            <a:ext cx="2548890" cy="2268220"/>
                          </a:xfrm>
                          <a:prstGeom prst="rect">
                            <a:avLst/>
                          </a:prstGeom>
                        </pic:spPr>
                      </pic:pic>
                    </a:graphicData>
                  </a:graphic>
                </wp:inline>
              </w:drawing>
            </w:r>
          </w:p>
        </w:tc>
      </w:tr>
      <w:tr w14:paraId="751D20A4">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922" w:hRule="atLeast"/>
        </w:trPr>
        <w:tc>
          <w:tcPr>
            <w:tcW w:w="2500" w:type="pct"/>
            <w:tcBorders>
              <w:top w:val="dashed" w:color="auto" w:sz="4" w:space="0"/>
              <w:left w:val="dashed" w:color="auto" w:sz="4" w:space="0"/>
              <w:bottom w:val="dashed" w:color="auto" w:sz="4" w:space="0"/>
              <w:right w:val="dashed" w:color="auto" w:sz="4" w:space="0"/>
            </w:tcBorders>
            <w:vAlign w:val="center"/>
          </w:tcPr>
          <w:p w14:paraId="016CED0C">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7305" cy="2115185"/>
                  <wp:effectExtent l="0" t="0" r="4445" b="18415"/>
                  <wp:docPr id="3" name="图片 3" descr="微信图片_20250912104330_1939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912104330_1939_41"/>
                          <pic:cNvPicPr>
                            <a:picLocks noChangeAspect="1"/>
                          </pic:cNvPicPr>
                        </pic:nvPicPr>
                        <pic:blipFill>
                          <a:blip r:embed="rId6"/>
                          <a:stretch>
                            <a:fillRect/>
                          </a:stretch>
                        </pic:blipFill>
                        <pic:spPr>
                          <a:xfrm>
                            <a:off x="0" y="0"/>
                            <a:ext cx="2567305" cy="2115185"/>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4ACEA858">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7305" cy="2096770"/>
                  <wp:effectExtent l="0" t="0" r="4445" b="17780"/>
                  <wp:docPr id="4" name="图片 4" descr="微信图片_20250912104325_1935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912104325_1935_41"/>
                          <pic:cNvPicPr>
                            <a:picLocks noChangeAspect="1"/>
                          </pic:cNvPicPr>
                        </pic:nvPicPr>
                        <pic:blipFill>
                          <a:blip r:embed="rId7"/>
                          <a:stretch>
                            <a:fillRect/>
                          </a:stretch>
                        </pic:blipFill>
                        <pic:spPr>
                          <a:xfrm>
                            <a:off x="0" y="0"/>
                            <a:ext cx="2567305" cy="2096770"/>
                          </a:xfrm>
                          <a:prstGeom prst="rect">
                            <a:avLst/>
                          </a:prstGeom>
                        </pic:spPr>
                      </pic:pic>
                    </a:graphicData>
                  </a:graphic>
                </wp:inline>
              </w:drawing>
            </w:r>
          </w:p>
        </w:tc>
      </w:tr>
    </w:tbl>
    <w:p w14:paraId="6646E42F">
      <w:pPr>
        <w:adjustRightInd w:val="0"/>
        <w:snapToGrid w:val="0"/>
        <w:spacing w:line="660" w:lineRule="exact"/>
        <w:ind w:firstLine="560" w:firstLineChars="200"/>
        <w:rPr>
          <w:rFonts w:ascii="仿宋_GB2312" w:hAnsi="仿宋_GB2312" w:eastAsia="仿宋_GB2312" w:cs="仿宋_GB2312"/>
          <w:sz w:val="28"/>
          <w:szCs w:val="28"/>
          <w:highlight w:val="none"/>
        </w:rPr>
      </w:pPr>
    </w:p>
    <w:p w14:paraId="37E36A85">
      <w:pPr>
        <w:widowControl/>
        <w:shd w:val="clear" w:color="auto" w:fill="FFFFFF"/>
        <w:spacing w:line="360" w:lineRule="auto"/>
        <w:ind w:firstLine="562"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详细债权信息见附件：标的资产介绍。</w:t>
      </w:r>
      <w:r>
        <w:rPr>
          <w:rFonts w:hint="eastAsia" w:ascii="仿宋" w:hAnsi="仿宋" w:eastAsia="仿宋" w:cs="仿宋"/>
          <w:kern w:val="0"/>
          <w:sz w:val="28"/>
          <w:szCs w:val="28"/>
          <w:highlight w:val="none"/>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ascii="仿宋" w:hAnsi="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4</w:t>
      </w:r>
      <w:r>
        <w:rPr>
          <w:rFonts w:ascii="仿宋" w:hAnsi="仿宋" w:eastAsia="仿宋" w:cs="仿宋"/>
          <w:kern w:val="0"/>
          <w:sz w:val="28"/>
          <w:szCs w:val="28"/>
          <w:highlight w:val="none"/>
          <w:u w:val="single"/>
          <w:shd w:val="clear" w:color="auto" w:fill="FFFFFF"/>
          <w:lang w:bidi="ar"/>
        </w:rPr>
        <w:t>.</w:t>
      </w:r>
      <w:r>
        <w:rPr>
          <w:rFonts w:hint="eastAsia" w:ascii="仿宋" w:hAnsi="仿宋" w:eastAsia="仿宋" w:cs="仿宋"/>
          <w:kern w:val="0"/>
          <w:sz w:val="28"/>
          <w:szCs w:val="28"/>
          <w:highlight w:val="none"/>
          <w:u w:val="single"/>
          <w:shd w:val="clear" w:color="auto" w:fill="FFFFFF"/>
          <w:lang w:bidi="ar"/>
        </w:rPr>
        <w:t>如对公告内容存在异议请在公告期内向广州资产管理有限公司提出。</w:t>
      </w:r>
    </w:p>
    <w:p w14:paraId="786D833D">
      <w:pPr>
        <w:widowControl/>
        <w:shd w:val="clear" w:color="auto" w:fill="FFFFFF"/>
        <w:spacing w:line="360" w:lineRule="auto"/>
        <w:ind w:firstLine="562" w:firstLineChars="200"/>
        <w:jc w:val="left"/>
        <w:outlineLvl w:val="2"/>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（二）竞价事项</w:t>
      </w:r>
    </w:p>
    <w:p w14:paraId="6C8055B1">
      <w:pPr>
        <w:widowControl/>
        <w:shd w:val="clear" w:color="auto" w:fill="FFFFFF"/>
        <w:spacing w:line="360" w:lineRule="auto"/>
        <w:ind w:firstLine="562" w:firstLineChars="200"/>
        <w:rPr>
          <w:rFonts w:ascii="仿宋" w:hAnsi="仿宋" w:eastAsia="仿宋" w:cs="仿宋"/>
          <w:sz w:val="28"/>
          <w:szCs w:val="28"/>
          <w:highlight w:val="none"/>
        </w:rPr>
      </w:pPr>
      <w:r>
        <w:rPr>
          <w:rFonts w:hint="eastAsia" w:ascii="仿宋" w:hAnsi="仿宋" w:eastAsia="仿宋" w:cs="仿宋"/>
          <w:b/>
          <w:kern w:val="0"/>
          <w:sz w:val="28"/>
          <w:szCs w:val="28"/>
          <w:highlight w:val="none"/>
          <w:shd w:val="clear" w:color="auto" w:fill="FFFFFF"/>
          <w:lang w:bidi="ar"/>
        </w:rPr>
        <w:t>竞买起拍价：【383</w:t>
      </w:r>
      <w:r>
        <w:rPr>
          <w:rFonts w:hint="eastAsia" w:ascii="仿宋" w:hAnsi="仿宋" w:eastAsia="仿宋" w:cs="仿宋"/>
          <w:b/>
          <w:kern w:val="0"/>
          <w:sz w:val="28"/>
          <w:szCs w:val="28"/>
          <w:highlight w:val="none"/>
          <w:shd w:val="clear" w:color="auto" w:fill="FFFFFF"/>
          <w:lang w:val="en-US" w:eastAsia="zh-CN" w:bidi="ar"/>
        </w:rPr>
        <w:t>,</w:t>
      </w:r>
      <w:r>
        <w:rPr>
          <w:rFonts w:hint="eastAsia" w:ascii="仿宋" w:hAnsi="仿宋" w:eastAsia="仿宋" w:cs="仿宋"/>
          <w:b/>
          <w:kern w:val="0"/>
          <w:sz w:val="28"/>
          <w:szCs w:val="28"/>
          <w:highlight w:val="none"/>
          <w:shd w:val="clear" w:color="auto" w:fill="FFFFFF"/>
          <w:lang w:bidi="ar"/>
        </w:rPr>
        <w:t>92</w:t>
      </w:r>
      <w:r>
        <w:rPr>
          <w:rFonts w:hint="eastAsia" w:ascii="仿宋" w:hAnsi="仿宋" w:eastAsia="仿宋" w:cs="仿宋"/>
          <w:b/>
          <w:kern w:val="0"/>
          <w:sz w:val="28"/>
          <w:szCs w:val="28"/>
          <w:highlight w:val="none"/>
          <w:shd w:val="clear" w:color="auto" w:fill="FFFFFF"/>
          <w:lang w:val="en-US" w:eastAsia="zh-CN" w:bidi="ar"/>
        </w:rPr>
        <w:t>0,000.00</w:t>
      </w:r>
      <w:r>
        <w:rPr>
          <w:rFonts w:hint="eastAsia" w:ascii="仿宋" w:hAnsi="仿宋" w:eastAsia="仿宋" w:cs="仿宋"/>
          <w:b/>
          <w:kern w:val="0"/>
          <w:sz w:val="28"/>
          <w:szCs w:val="28"/>
          <w:highlight w:val="none"/>
          <w:shd w:val="clear" w:color="auto" w:fill="FFFFFF"/>
          <w:lang w:bidi="ar"/>
        </w:rPr>
        <w:t>】元，保证金：【38</w:t>
      </w:r>
      <w:r>
        <w:rPr>
          <w:rFonts w:hint="eastAsia" w:ascii="仿宋" w:hAnsi="仿宋" w:eastAsia="仿宋" w:cs="仿宋"/>
          <w:b/>
          <w:kern w:val="0"/>
          <w:sz w:val="28"/>
          <w:szCs w:val="28"/>
          <w:highlight w:val="none"/>
          <w:shd w:val="clear" w:color="auto" w:fill="FFFFFF"/>
          <w:lang w:val="en-US" w:eastAsia="zh-CN" w:bidi="ar"/>
        </w:rPr>
        <w:t>,</w:t>
      </w:r>
      <w:r>
        <w:rPr>
          <w:rFonts w:hint="eastAsia" w:ascii="仿宋" w:hAnsi="仿宋" w:eastAsia="仿宋" w:cs="仿宋"/>
          <w:b/>
          <w:kern w:val="0"/>
          <w:sz w:val="28"/>
          <w:szCs w:val="28"/>
          <w:highlight w:val="none"/>
          <w:shd w:val="clear" w:color="auto" w:fill="FFFFFF"/>
          <w:lang w:bidi="ar"/>
        </w:rPr>
        <w:t>392</w:t>
      </w:r>
      <w:r>
        <w:rPr>
          <w:rFonts w:hint="eastAsia" w:ascii="仿宋" w:hAnsi="仿宋" w:eastAsia="仿宋" w:cs="仿宋"/>
          <w:b/>
          <w:kern w:val="0"/>
          <w:sz w:val="28"/>
          <w:szCs w:val="28"/>
          <w:highlight w:val="none"/>
          <w:shd w:val="clear" w:color="auto" w:fill="FFFFFF"/>
          <w:lang w:val="en-US" w:eastAsia="zh-CN" w:bidi="ar"/>
        </w:rPr>
        <w:t>,000.00</w:t>
      </w:r>
      <w:r>
        <w:rPr>
          <w:rFonts w:hint="eastAsia" w:ascii="仿宋" w:hAnsi="仿宋" w:eastAsia="仿宋" w:cs="仿宋"/>
          <w:b/>
          <w:kern w:val="0"/>
          <w:sz w:val="28"/>
          <w:szCs w:val="28"/>
          <w:highlight w:val="none"/>
          <w:shd w:val="clear" w:color="auto" w:fill="FFFFFF"/>
          <w:lang w:bidi="ar"/>
        </w:rPr>
        <w:t>】元，增价幅度：【</w:t>
      </w:r>
      <w:r>
        <w:rPr>
          <w:rFonts w:hint="eastAsia" w:ascii="仿宋" w:hAnsi="仿宋" w:eastAsia="仿宋" w:cs="仿宋"/>
          <w:b/>
          <w:kern w:val="0"/>
          <w:sz w:val="28"/>
          <w:szCs w:val="28"/>
          <w:highlight w:val="none"/>
          <w:shd w:val="clear" w:color="auto" w:fill="FFFFFF"/>
          <w:lang w:val="en-US" w:eastAsia="zh-CN" w:bidi="ar"/>
        </w:rPr>
        <w:t>100,000.00</w:t>
      </w:r>
      <w:r>
        <w:rPr>
          <w:rFonts w:hint="eastAsia" w:ascii="仿宋" w:hAnsi="仿宋" w:eastAsia="仿宋" w:cs="仿宋"/>
          <w:b/>
          <w:kern w:val="0"/>
          <w:sz w:val="28"/>
          <w:szCs w:val="28"/>
          <w:highlight w:val="none"/>
          <w:shd w:val="clear" w:color="auto" w:fill="FFFFFF"/>
          <w:lang w:bidi="ar"/>
        </w:rPr>
        <w:t>】元。</w:t>
      </w:r>
      <w:r>
        <w:rPr>
          <w:rFonts w:hint="eastAsia" w:ascii="仿宋" w:hAnsi="仿宋" w:eastAsia="仿宋" w:cs="仿宋"/>
          <w:sz w:val="28"/>
          <w:szCs w:val="28"/>
          <w:highlight w:val="none"/>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sz w:val="28"/>
          <w:szCs w:val="28"/>
          <w:highlight w:val="none"/>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562" w:firstLineChars="200"/>
        <w:jc w:val="left"/>
        <w:outlineLvl w:val="2"/>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（三）</w:t>
      </w:r>
      <w:r>
        <w:rPr>
          <w:rFonts w:ascii="仿宋" w:hAnsi="仿宋" w:eastAsia="仿宋" w:cs="仿宋"/>
          <w:b/>
          <w:bCs/>
          <w:kern w:val="0"/>
          <w:sz w:val="28"/>
          <w:szCs w:val="28"/>
          <w:highlight w:val="none"/>
          <w:shd w:val="clear" w:color="auto" w:fill="FFFFFF"/>
          <w:lang w:bidi="ar"/>
        </w:rPr>
        <w:t>保证金规则</w:t>
      </w:r>
    </w:p>
    <w:p w14:paraId="227A2824">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1、保证金需在20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12</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eastAsia="zh-CN" w:bidi="ar"/>
        </w:rPr>
        <w:t>1</w:t>
      </w:r>
      <w:r>
        <w:rPr>
          <w:rFonts w:hint="eastAsia" w:ascii="仿宋" w:hAnsi="仿宋" w:eastAsia="仿宋" w:cs="仿宋"/>
          <w:kern w:val="0"/>
          <w:sz w:val="28"/>
          <w:szCs w:val="28"/>
          <w:highlight w:val="none"/>
          <w:shd w:val="clear" w:color="auto" w:fill="FFFFFF"/>
          <w:lang w:val="en-US" w:eastAsia="zh-CN" w:bidi="ar"/>
        </w:rPr>
        <w:t>7</w:t>
      </w:r>
      <w:r>
        <w:rPr>
          <w:rFonts w:hint="eastAsia" w:ascii="仿宋" w:hAnsi="仿宋" w:eastAsia="仿宋" w:cs="仿宋"/>
          <w:kern w:val="0"/>
          <w:sz w:val="28"/>
          <w:szCs w:val="28"/>
          <w:highlight w:val="none"/>
          <w:shd w:val="clear" w:color="auto" w:fill="FFFFFF"/>
          <w:lang w:bidi="ar"/>
        </w:rPr>
        <w:t>时（为确保及时到账及查验,建议提前于20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12</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12</w:t>
      </w:r>
      <w:r>
        <w:rPr>
          <w:rFonts w:hint="eastAsia" w:ascii="仿宋" w:hAnsi="仿宋" w:eastAsia="仿宋" w:cs="仿宋"/>
          <w:kern w:val="0"/>
          <w:sz w:val="28"/>
          <w:szCs w:val="28"/>
          <w:highlight w:val="none"/>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bidi="ar"/>
        </w:rPr>
        <w:t>下列情况，竞买人缴纳的保证金不予退还，</w:t>
      </w:r>
      <w:r>
        <w:rPr>
          <w:rFonts w:hint="eastAsia" w:ascii="仿宋" w:hAnsi="仿宋" w:eastAsia="仿宋" w:cs="仿宋"/>
          <w:kern w:val="0"/>
          <w:sz w:val="28"/>
          <w:szCs w:val="28"/>
          <w:highlight w:val="none"/>
          <w:shd w:val="clear" w:color="auto" w:fill="FFFFFF"/>
          <w:lang w:bidi="ar"/>
        </w:rPr>
        <w:t>归广州资产管理有限公司所有</w:t>
      </w:r>
      <w:r>
        <w:rPr>
          <w:rFonts w:hint="eastAsia" w:ascii="仿宋" w:hAnsi="仿宋" w:eastAsia="仿宋" w:cs="仿宋"/>
          <w:sz w:val="28"/>
          <w:szCs w:val="28"/>
          <w:highlight w:val="none"/>
          <w:shd w:val="clear" w:color="auto" w:fill="FFFFFF"/>
          <w:lang w:bidi="ar"/>
        </w:rPr>
        <w:t>，且广州资产管理有限公司可对标的资产重新处置</w:t>
      </w:r>
      <w:r>
        <w:rPr>
          <w:rFonts w:hint="eastAsia" w:ascii="仿宋" w:hAnsi="仿宋" w:eastAsia="仿宋" w:cs="仿宋"/>
          <w:kern w:val="0"/>
          <w:sz w:val="28"/>
          <w:szCs w:val="28"/>
          <w:highlight w:val="none"/>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562" w:firstLineChars="200"/>
        <w:jc w:val="left"/>
        <w:outlineLvl w:val="2"/>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（四）交易成交及付款期限</w:t>
      </w:r>
    </w:p>
    <w:p w14:paraId="3FA6828F">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竞买人自竞价成交之时起成为买受人。标的资产竞得者须承担平台交易费用等相关因交易而产生费用。</w:t>
      </w:r>
    </w:p>
    <w:p w14:paraId="1021BC86">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标的资产竞得者需按照以下规定签署《债权转让协议》，逾期则视为买受人违约，竞价保证金不予退还：（1）两人及以上参加竞价的，于标的资产竞价成交之日起【3】个工作日内正式签署《债权转让协议》；（2）仅一人参加竞价，竞价补登公告后没有新的竞价者参与竞价，于补登竞价公告期满之日起【3】个工作日内正式签署《债权转让协议》；（3）仅一人参加竞价，竞价补登公告后有新的竞价者参与竞价，于标的资产第二次竞价成交之日起【3】个工作日内正式签署《债权转让协议》。</w:t>
      </w:r>
    </w:p>
    <w:p w14:paraId="162FB27F">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受让方可选择一次性付款或分期付款。一次性付款的，须在签订《债权转让协议》之日起【</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个工作日内即需付清全款，竞价保证金自动转为履约保证金；分期付款的，须于处置平台竞价成交或竞价补登公告期满之日（如涉及竞价补登公告，则以两者孰晚日期为准；如不涉及竞价补登公告，则以成交日为准）起【</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】个工作日内支付不低于相当于成交价格【</w:t>
      </w:r>
      <w:r>
        <w:rPr>
          <w:rFonts w:hint="eastAsia" w:ascii="仿宋" w:hAnsi="仿宋" w:eastAsia="仿宋" w:cs="仿宋"/>
          <w:kern w:val="0"/>
          <w:sz w:val="28"/>
          <w:szCs w:val="28"/>
          <w:highlight w:val="none"/>
          <w:shd w:val="clear" w:color="auto" w:fill="FFFFFF"/>
          <w:lang w:val="en-US" w:eastAsia="zh-CN" w:bidi="ar"/>
        </w:rPr>
        <w:t>30</w:t>
      </w:r>
      <w:r>
        <w:rPr>
          <w:rFonts w:hint="eastAsia" w:ascii="仿宋" w:hAnsi="仿宋" w:eastAsia="仿宋" w:cs="仿宋"/>
          <w:kern w:val="0"/>
          <w:sz w:val="28"/>
          <w:szCs w:val="28"/>
          <w:highlight w:val="none"/>
          <w:shd w:val="clear" w:color="auto" w:fill="FFFFFF"/>
          <w:lang w:bidi="ar"/>
        </w:rPr>
        <w:t>】%的成交价款，剩余成交价款自处置平台竞价成交或竞价补登公告期满之日起【</w:t>
      </w:r>
      <w:r>
        <w:rPr>
          <w:rFonts w:hint="eastAsia" w:ascii="仿宋" w:hAnsi="仿宋" w:eastAsia="仿宋" w:cs="仿宋"/>
          <w:kern w:val="0"/>
          <w:sz w:val="28"/>
          <w:szCs w:val="28"/>
          <w:highlight w:val="none"/>
          <w:shd w:val="clear" w:color="auto" w:fill="FFFFFF"/>
          <w:lang w:val="en-US" w:eastAsia="zh-CN" w:bidi="ar"/>
        </w:rPr>
        <w:t>2年</w:t>
      </w:r>
      <w:r>
        <w:rPr>
          <w:rFonts w:hint="eastAsia" w:ascii="仿宋" w:hAnsi="仿宋" w:eastAsia="仿宋" w:cs="仿宋"/>
          <w:kern w:val="0"/>
          <w:sz w:val="28"/>
          <w:szCs w:val="28"/>
          <w:highlight w:val="none"/>
          <w:shd w:val="clear" w:color="auto" w:fill="FFFFFF"/>
          <w:lang w:bidi="ar"/>
        </w:rPr>
        <w:t>】内分期支付完毕，分期支付期间，买受人须以剩余未付成交价款为基数，按照【</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】%/年的标准按季向广州资产支付资金占用费，期间债权处置回收优先冲抵成交价款及资金占用费及违约金（如有）。成交后竞买保证金自动转化为成交价款的一部分。</w:t>
      </w:r>
    </w:p>
    <w:p w14:paraId="1345E7E9">
      <w:pPr>
        <w:widowControl/>
        <w:shd w:val="clear" w:color="auto" w:fill="FFFFFF"/>
        <w:spacing w:line="360" w:lineRule="auto"/>
        <w:jc w:val="left"/>
        <w:rPr>
          <w:rFonts w:ascii="仿宋" w:hAnsi="仿宋" w:eastAsia="仿宋" w:cs="仿宋"/>
          <w:kern w:val="0"/>
          <w:sz w:val="28"/>
          <w:szCs w:val="28"/>
          <w:highlight w:val="none"/>
          <w:shd w:val="clear" w:color="auto" w:fill="FFFFFF"/>
          <w:lang w:bidi="ar"/>
        </w:rPr>
      </w:pPr>
    </w:p>
    <w:p w14:paraId="5C0087BC">
      <w:pPr>
        <w:widowControl/>
        <w:shd w:val="clear" w:color="auto" w:fill="FFFFFF"/>
        <w:spacing w:line="360" w:lineRule="auto"/>
        <w:ind w:firstLine="643" w:firstLineChars="200"/>
        <w:jc w:val="left"/>
        <w:outlineLvl w:val="1"/>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二、竞买人条件</w:t>
      </w:r>
    </w:p>
    <w:p w14:paraId="3E5EC0E2">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1、具备完全民事行为能力的自然人、法人和非法人组织，并应具备一定的资金实力和良好的信誉条件。</w:t>
      </w:r>
    </w:p>
    <w:p w14:paraId="1956495A">
      <w:pPr>
        <w:pStyle w:val="7"/>
        <w:widowControl/>
        <w:spacing w:beforeAutospacing="0" w:afterAutospacing="0" w:line="360" w:lineRule="atLeast"/>
        <w:ind w:firstLine="560" w:firstLineChars="200"/>
        <w:jc w:val="both"/>
        <w:rPr>
          <w:rFonts w:ascii="仿宋_GB2312" w:hAnsi="仿宋" w:eastAsia="仿宋_GB2312" w:cs="仿宋"/>
          <w:color w:val="000000"/>
          <w:sz w:val="28"/>
          <w:szCs w:val="28"/>
          <w:highlight w:val="none"/>
        </w:rPr>
      </w:pPr>
      <w:r>
        <w:rPr>
          <w:rFonts w:hint="eastAsia" w:ascii="仿宋" w:hAnsi="仿宋" w:eastAsia="仿宋" w:cs="仿宋"/>
          <w:sz w:val="28"/>
          <w:szCs w:val="28"/>
          <w:highlight w:val="none"/>
          <w:shd w:val="clear" w:color="auto" w:fill="FFFFFF"/>
          <w:lang w:bidi="ar"/>
        </w:rPr>
        <w:t>以下人员不得购买或变相购买标的资产：</w:t>
      </w:r>
      <w:r>
        <w:rPr>
          <w:rFonts w:hint="eastAsia" w:ascii="仿宋_GB2312" w:hAnsi="仿宋" w:eastAsia="仿宋_GB2312" w:cs="仿宋"/>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highlight w:val="none"/>
        </w:rPr>
        <w:t>相关法律、行政法规及规范性文件中规定的不得购买或变相购买不良资产的主体。</w:t>
      </w:r>
      <w:r>
        <w:rPr>
          <w:rFonts w:hint="eastAsia" w:ascii="仿宋" w:hAnsi="仿宋" w:eastAsia="仿宋" w:cs="仿宋"/>
          <w:sz w:val="28"/>
          <w:szCs w:val="28"/>
          <w:highlight w:val="none"/>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2、竞买人须信誉良好，资金来源合法</w:t>
      </w:r>
      <w:r>
        <w:rPr>
          <w:rFonts w:hint="eastAsia" w:ascii="仿宋" w:hAnsi="仿宋" w:eastAsia="仿宋" w:cs="仿宋"/>
          <w:kern w:val="0"/>
          <w:sz w:val="28"/>
          <w:szCs w:val="28"/>
          <w:highlight w:val="none"/>
          <w:shd w:val="clear" w:color="auto" w:fill="FFFFFF"/>
          <w:lang w:bidi="ar"/>
        </w:rPr>
        <w:t>合规，能承担购买债权所带来的风险。</w:t>
      </w:r>
    </w:p>
    <w:p w14:paraId="638F2622">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3、竞买人确认竞买人及竞买人股东与标的资产内债务人或担保人无关联关系，并不存在任何形式或可能存在的逃废债情形。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5、买受人应向广州资产管理有限公司提供《资金来源合法性声明函》。</w:t>
      </w:r>
    </w:p>
    <w:p w14:paraId="25E95B82">
      <w:pPr>
        <w:widowControl/>
        <w:shd w:val="clear" w:color="auto" w:fill="FFFFFF"/>
        <w:spacing w:line="360" w:lineRule="auto"/>
        <w:jc w:val="left"/>
        <w:rPr>
          <w:rFonts w:ascii="仿宋" w:hAnsi="仿宋" w:eastAsia="仿宋" w:cs="仿宋"/>
          <w:kern w:val="0"/>
          <w:sz w:val="28"/>
          <w:szCs w:val="28"/>
          <w:highlight w:val="none"/>
          <w:shd w:val="clear" w:color="auto" w:fill="FFFFFF"/>
          <w:lang w:bidi="ar"/>
        </w:rPr>
      </w:pPr>
    </w:p>
    <w:p w14:paraId="7B6B7798">
      <w:pPr>
        <w:widowControl/>
        <w:shd w:val="clear" w:color="auto" w:fill="FFFFFF"/>
        <w:spacing w:line="360" w:lineRule="auto"/>
        <w:ind w:firstLine="643" w:firstLineChars="200"/>
        <w:jc w:val="left"/>
        <w:outlineLvl w:val="1"/>
        <w:rPr>
          <w:rFonts w:ascii="仿宋" w:hAnsi="仿宋" w:eastAsia="仿宋" w:cs="仿宋"/>
          <w:kern w:val="0"/>
          <w:sz w:val="28"/>
          <w:szCs w:val="28"/>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三、咨询时间与方式</w:t>
      </w:r>
    </w:p>
    <w:p w14:paraId="248B2EB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有意者请自行多方位了解该债权资产情况，广州资产管理有限公司仅提供相关参考资料。自公告日起至</w:t>
      </w:r>
      <w:r>
        <w:rPr>
          <w:rFonts w:ascii="仿宋" w:hAnsi="仿宋" w:eastAsia="仿宋" w:cs="仿宋"/>
          <w:kern w:val="0"/>
          <w:sz w:val="28"/>
          <w:szCs w:val="28"/>
          <w:highlight w:val="none"/>
          <w:shd w:val="clear" w:color="auto" w:fill="FFFFFF"/>
          <w:lang w:bidi="ar"/>
        </w:rPr>
        <w:t>202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12</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bCs/>
          <w:kern w:val="0"/>
          <w:sz w:val="28"/>
          <w:szCs w:val="28"/>
          <w:highlight w:val="none"/>
          <w:shd w:val="clear" w:color="auto" w:fill="FFFFFF"/>
          <w:lang w:val="en-US" w:eastAsia="zh-CN" w:bidi="ar"/>
        </w:rPr>
        <w:t>10</w:t>
      </w:r>
      <w:r>
        <w:rPr>
          <w:rFonts w:hint="eastAsia" w:ascii="仿宋" w:hAnsi="仿宋" w:eastAsia="仿宋" w:cs="仿宋"/>
          <w:bCs/>
          <w:kern w:val="0"/>
          <w:sz w:val="28"/>
          <w:szCs w:val="28"/>
          <w:highlight w:val="none"/>
          <w:shd w:val="clear" w:color="auto" w:fill="FFFFFF"/>
          <w:lang w:bidi="ar"/>
        </w:rPr>
        <w:t>日</w:t>
      </w:r>
      <w:r>
        <w:rPr>
          <w:rFonts w:hint="eastAsia" w:ascii="仿宋" w:hAnsi="仿宋" w:eastAsia="仿宋" w:cs="仿宋"/>
          <w:bCs/>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时止接受咨询，请拨打咨询电话或直接到广州资产管理有限公司现场咨询。</w:t>
      </w:r>
    </w:p>
    <w:p w14:paraId="111D5DD9">
      <w:pPr>
        <w:autoSpaceDN w:val="0"/>
        <w:spacing w:line="660" w:lineRule="exact"/>
        <w:ind w:firstLine="560" w:firstLineChars="200"/>
        <w:rPr>
          <w:rFonts w:hint="default" w:ascii="仿宋" w:hAnsi="仿宋" w:eastAsia="仿宋" w:cs="仿宋"/>
          <w:kern w:val="0"/>
          <w:sz w:val="28"/>
          <w:szCs w:val="28"/>
          <w:highlight w:val="none"/>
          <w:shd w:val="clear" w:color="auto" w:fill="FFFFFF"/>
          <w:lang w:val="en-US" w:eastAsia="zh-CN" w:bidi="ar"/>
        </w:rPr>
      </w:pPr>
      <w:r>
        <w:rPr>
          <w:rFonts w:hint="eastAsia" w:ascii="仿宋" w:hAnsi="仿宋" w:eastAsia="仿宋" w:cs="仿宋"/>
          <w:kern w:val="0"/>
          <w:sz w:val="28"/>
          <w:szCs w:val="28"/>
          <w:highlight w:val="none"/>
          <w:shd w:val="clear" w:color="auto" w:fill="FFFFFF"/>
          <w:lang w:bidi="ar"/>
        </w:rPr>
        <w:t>联系人1：</w:t>
      </w:r>
      <w:r>
        <w:rPr>
          <w:rFonts w:hint="eastAsia" w:ascii="仿宋" w:hAnsi="仿宋" w:eastAsia="仿宋" w:cs="仿宋"/>
          <w:kern w:val="0"/>
          <w:sz w:val="28"/>
          <w:szCs w:val="28"/>
          <w:highlight w:val="none"/>
          <w:shd w:val="clear" w:color="auto" w:fill="FFFFFF"/>
          <w:lang w:val="en-US" w:eastAsia="zh-CN" w:bidi="ar"/>
        </w:rPr>
        <w:t>周经理</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联系电话：</w:t>
      </w:r>
      <w:r>
        <w:rPr>
          <w:rFonts w:hint="eastAsia" w:ascii="仿宋" w:hAnsi="仿宋" w:eastAsia="仿宋" w:cs="仿宋"/>
          <w:kern w:val="0"/>
          <w:sz w:val="28"/>
          <w:szCs w:val="28"/>
          <w:highlight w:val="none"/>
          <w:shd w:val="clear" w:color="auto" w:fill="FFFFFF"/>
          <w:lang w:val="en-US" w:eastAsia="zh-CN" w:bidi="ar"/>
        </w:rPr>
        <w:t>18688497743</w:t>
      </w:r>
    </w:p>
    <w:p w14:paraId="62158432">
      <w:pPr>
        <w:autoSpaceDN w:val="0"/>
        <w:spacing w:line="660"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联系人2：</w:t>
      </w:r>
      <w:r>
        <w:rPr>
          <w:rFonts w:hint="eastAsia" w:ascii="仿宋" w:hAnsi="仿宋" w:eastAsia="仿宋" w:cs="仿宋"/>
          <w:kern w:val="0"/>
          <w:sz w:val="28"/>
          <w:szCs w:val="28"/>
          <w:highlight w:val="none"/>
          <w:shd w:val="clear" w:color="auto" w:fill="FFFFFF"/>
          <w:lang w:val="en-US" w:eastAsia="zh-CN" w:bidi="ar"/>
        </w:rPr>
        <w:t>岑经理</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联系电话：</w:t>
      </w:r>
      <w:r>
        <w:rPr>
          <w:rFonts w:ascii="仿宋" w:hAnsi="仿宋" w:eastAsia="仿宋" w:cs="仿宋"/>
          <w:i w:val="0"/>
          <w:iCs w:val="0"/>
          <w:caps w:val="0"/>
          <w:spacing w:val="0"/>
          <w:kern w:val="0"/>
          <w:sz w:val="28"/>
          <w:szCs w:val="28"/>
          <w:highlight w:val="none"/>
          <w:shd w:val="clear" w:color="auto" w:fill="FFFFFF"/>
          <w:lang w:bidi="ar"/>
        </w:rPr>
        <w:t>18825108715</w:t>
      </w:r>
    </w:p>
    <w:p w14:paraId="0A57F22E">
      <w:pPr>
        <w:autoSpaceDN w:val="0"/>
        <w:spacing w:line="660"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联系地址：广州市天河区珠江东路28号越秀金融大厦58楼</w:t>
      </w:r>
    </w:p>
    <w:p w14:paraId="3690A57B">
      <w:pPr>
        <w:autoSpaceDN w:val="0"/>
        <w:spacing w:line="660" w:lineRule="exact"/>
        <w:rPr>
          <w:rFonts w:ascii="仿宋" w:hAnsi="仿宋" w:eastAsia="仿宋" w:cs="仿宋"/>
          <w:kern w:val="0"/>
          <w:sz w:val="28"/>
          <w:szCs w:val="28"/>
          <w:highlight w:val="none"/>
          <w:shd w:val="clear" w:color="auto" w:fill="FFFFFF"/>
          <w:lang w:bidi="ar"/>
        </w:rPr>
      </w:pPr>
    </w:p>
    <w:p w14:paraId="4F035257">
      <w:pPr>
        <w:widowControl/>
        <w:shd w:val="clear" w:color="auto" w:fill="FFFFFF"/>
        <w:spacing w:line="360" w:lineRule="auto"/>
        <w:ind w:firstLine="643" w:firstLineChars="200"/>
        <w:jc w:val="left"/>
        <w:outlineLvl w:val="1"/>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四、特别声明</w:t>
      </w:r>
    </w:p>
    <w:p w14:paraId="3FAA961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ascii="仿宋" w:hAnsi="仿宋" w:eastAsia="仿宋" w:cs="仿宋"/>
          <w:kern w:val="0"/>
          <w:sz w:val="28"/>
          <w:szCs w:val="28"/>
          <w:highlight w:val="none"/>
          <w:shd w:val="clear" w:color="auto" w:fill="FFFFFF"/>
          <w:lang w:bidi="ar"/>
        </w:rPr>
      </w:pPr>
    </w:p>
    <w:p w14:paraId="28C31E47">
      <w:pPr>
        <w:widowControl/>
        <w:shd w:val="clear" w:color="auto" w:fill="FFFFFF"/>
        <w:spacing w:line="360" w:lineRule="auto"/>
        <w:ind w:firstLine="643" w:firstLineChars="200"/>
        <w:jc w:val="left"/>
        <w:outlineLvl w:val="1"/>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五、其他事项</w:t>
      </w:r>
    </w:p>
    <w:p w14:paraId="47485A6C">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竞买人在正式竞价活动开始前请务必仔细阅读</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的竞买须知、竞买公告等有关文件。本公告其他未尽事宜，请向</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咨询。</w:t>
      </w:r>
    </w:p>
    <w:p w14:paraId="2E00E6A7">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此公告在【淘宝网】上发布，如对发布内容或资产购买有任何疑问，欢迎拨打咨询电话：【020-66811813】。</w:t>
      </w:r>
    </w:p>
    <w:p w14:paraId="210E64FF">
      <w:pPr>
        <w:spacing w:line="360" w:lineRule="auto"/>
        <w:rPr>
          <w:rFonts w:ascii="仿宋" w:hAnsi="仿宋" w:eastAsia="仿宋" w:cs="仿宋"/>
          <w:kern w:val="0"/>
          <w:sz w:val="28"/>
          <w:szCs w:val="28"/>
          <w:highlight w:val="none"/>
          <w:shd w:val="clear" w:color="auto" w:fill="FFFFFF"/>
          <w:lang w:bidi="ar"/>
        </w:rPr>
      </w:pPr>
    </w:p>
    <w:p w14:paraId="11985C35">
      <w:pPr>
        <w:spacing w:line="360" w:lineRule="auto"/>
        <w:rPr>
          <w:rFonts w:ascii="仿宋" w:hAnsi="仿宋" w:eastAsia="仿宋" w:cs="仿宋"/>
          <w:kern w:val="0"/>
          <w:sz w:val="28"/>
          <w:szCs w:val="28"/>
          <w:highlight w:val="none"/>
          <w:shd w:val="clear" w:color="auto" w:fill="FFFFFF"/>
          <w:lang w:bidi="ar"/>
        </w:rPr>
      </w:pPr>
    </w:p>
    <w:p w14:paraId="0AB551BD">
      <w:pPr>
        <w:spacing w:line="360" w:lineRule="auto"/>
        <w:jc w:val="right"/>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广州资产管理有限公司</w:t>
      </w:r>
    </w:p>
    <w:p w14:paraId="0491E73B">
      <w:pPr>
        <w:spacing w:line="360" w:lineRule="auto"/>
        <w:jc w:val="right"/>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202</w:t>
      </w: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年</w:t>
      </w:r>
      <w:r>
        <w:rPr>
          <w:rFonts w:hint="eastAsia" w:ascii="仿宋" w:hAnsi="仿宋" w:eastAsia="仿宋" w:cs="仿宋"/>
          <w:sz w:val="28"/>
          <w:szCs w:val="28"/>
          <w:highlight w:val="none"/>
          <w:shd w:val="clear" w:color="auto" w:fill="FFFFFF"/>
          <w:lang w:val="en-US" w:eastAsia="zh-CN"/>
        </w:rPr>
        <w:t>11</w:t>
      </w:r>
      <w:r>
        <w:rPr>
          <w:rFonts w:hint="eastAsia" w:ascii="仿宋" w:hAnsi="仿宋" w:eastAsia="仿宋" w:cs="仿宋"/>
          <w:sz w:val="28"/>
          <w:szCs w:val="28"/>
          <w:highlight w:val="none"/>
          <w:shd w:val="clear" w:color="auto" w:fill="FFFFFF"/>
        </w:rPr>
        <w:t>月</w:t>
      </w:r>
      <w:r>
        <w:rPr>
          <w:rFonts w:hint="eastAsia" w:ascii="仿宋" w:hAnsi="仿宋" w:eastAsia="仿宋" w:cs="仿宋"/>
          <w:sz w:val="28"/>
          <w:szCs w:val="28"/>
          <w:highlight w:val="none"/>
          <w:shd w:val="clear" w:color="auto" w:fill="FFFFFF"/>
          <w:lang w:val="en-US" w:eastAsia="zh-CN"/>
        </w:rPr>
        <w:t>27</w:t>
      </w:r>
      <w:r>
        <w:rPr>
          <w:rFonts w:hint="eastAsia" w:ascii="仿宋" w:hAnsi="仿宋" w:eastAsia="仿宋" w:cs="仿宋"/>
          <w:sz w:val="28"/>
          <w:szCs w:val="28"/>
          <w:highlight w:val="none"/>
          <w:shd w:val="clear" w:color="auto" w:fill="FFFFFF"/>
        </w:rPr>
        <w:t>日</w:t>
      </w:r>
    </w:p>
    <w:p w14:paraId="55DD5520">
      <w:pPr>
        <w:spacing w:line="360" w:lineRule="auto"/>
        <w:jc w:val="left"/>
        <w:rPr>
          <w:rFonts w:ascii="仿宋" w:hAnsi="仿宋" w:eastAsia="仿宋" w:cs="仿宋"/>
          <w:sz w:val="28"/>
          <w:szCs w:val="28"/>
          <w:highlight w:val="none"/>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2FDC"/>
    <w:rsid w:val="00347AF5"/>
    <w:rsid w:val="00371A61"/>
    <w:rsid w:val="003C3C19"/>
    <w:rsid w:val="003D715D"/>
    <w:rsid w:val="003F0D81"/>
    <w:rsid w:val="00422196"/>
    <w:rsid w:val="00434CDA"/>
    <w:rsid w:val="00491D0C"/>
    <w:rsid w:val="004A1EA0"/>
    <w:rsid w:val="004A71D2"/>
    <w:rsid w:val="004C34BA"/>
    <w:rsid w:val="004F6C7B"/>
    <w:rsid w:val="00502939"/>
    <w:rsid w:val="00504A8D"/>
    <w:rsid w:val="00532A79"/>
    <w:rsid w:val="005362C0"/>
    <w:rsid w:val="00541C1A"/>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675C6"/>
    <w:rsid w:val="008844B5"/>
    <w:rsid w:val="00921CBA"/>
    <w:rsid w:val="0092258C"/>
    <w:rsid w:val="0094690C"/>
    <w:rsid w:val="00971B27"/>
    <w:rsid w:val="009A621D"/>
    <w:rsid w:val="009B706B"/>
    <w:rsid w:val="009D18EF"/>
    <w:rsid w:val="009E7452"/>
    <w:rsid w:val="00A05099"/>
    <w:rsid w:val="00A175D8"/>
    <w:rsid w:val="00A1797B"/>
    <w:rsid w:val="00A2169A"/>
    <w:rsid w:val="00A814D6"/>
    <w:rsid w:val="00AE1DB8"/>
    <w:rsid w:val="00AF1AFC"/>
    <w:rsid w:val="00B14DE3"/>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2850BBE"/>
    <w:rsid w:val="03230331"/>
    <w:rsid w:val="042E00EA"/>
    <w:rsid w:val="04EC217E"/>
    <w:rsid w:val="090B36D9"/>
    <w:rsid w:val="0935611C"/>
    <w:rsid w:val="0B60735B"/>
    <w:rsid w:val="0BE13B5B"/>
    <w:rsid w:val="0C311516"/>
    <w:rsid w:val="0C3F61CA"/>
    <w:rsid w:val="0D8902B9"/>
    <w:rsid w:val="0DD06FD4"/>
    <w:rsid w:val="0E1B11A4"/>
    <w:rsid w:val="0E9D7276"/>
    <w:rsid w:val="0F3F6101"/>
    <w:rsid w:val="0F620661"/>
    <w:rsid w:val="0F6621D7"/>
    <w:rsid w:val="0F871D69"/>
    <w:rsid w:val="0FEB11EC"/>
    <w:rsid w:val="106058DB"/>
    <w:rsid w:val="10982A37"/>
    <w:rsid w:val="1104518A"/>
    <w:rsid w:val="112827AB"/>
    <w:rsid w:val="11310E00"/>
    <w:rsid w:val="113928AE"/>
    <w:rsid w:val="13612C4D"/>
    <w:rsid w:val="13977280"/>
    <w:rsid w:val="13A1058E"/>
    <w:rsid w:val="13BE3BC3"/>
    <w:rsid w:val="13FF37F9"/>
    <w:rsid w:val="16016597"/>
    <w:rsid w:val="167A6E3D"/>
    <w:rsid w:val="172729B8"/>
    <w:rsid w:val="18353176"/>
    <w:rsid w:val="18EC7DD4"/>
    <w:rsid w:val="194A2549"/>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BC3F6F"/>
    <w:rsid w:val="28C51C6D"/>
    <w:rsid w:val="296E53B1"/>
    <w:rsid w:val="297E0B29"/>
    <w:rsid w:val="2A6B0D86"/>
    <w:rsid w:val="2A755B87"/>
    <w:rsid w:val="2AE12D0A"/>
    <w:rsid w:val="2AE90A8B"/>
    <w:rsid w:val="2B9B4B36"/>
    <w:rsid w:val="2BA81725"/>
    <w:rsid w:val="2CC20AD2"/>
    <w:rsid w:val="2DAE7F4E"/>
    <w:rsid w:val="2DC2714C"/>
    <w:rsid w:val="2E1B18FB"/>
    <w:rsid w:val="2F147F1D"/>
    <w:rsid w:val="2FEA1ED9"/>
    <w:rsid w:val="3053611E"/>
    <w:rsid w:val="30C023F7"/>
    <w:rsid w:val="329C5DC8"/>
    <w:rsid w:val="32A141B5"/>
    <w:rsid w:val="32B8422B"/>
    <w:rsid w:val="32F07D0B"/>
    <w:rsid w:val="334E6552"/>
    <w:rsid w:val="33693F78"/>
    <w:rsid w:val="345F505A"/>
    <w:rsid w:val="34B44094"/>
    <w:rsid w:val="35220D57"/>
    <w:rsid w:val="356B1752"/>
    <w:rsid w:val="35AE552B"/>
    <w:rsid w:val="35EF3BE2"/>
    <w:rsid w:val="36982D77"/>
    <w:rsid w:val="374111CC"/>
    <w:rsid w:val="37BC7A6C"/>
    <w:rsid w:val="397C262B"/>
    <w:rsid w:val="39B75245"/>
    <w:rsid w:val="3A9F4FFD"/>
    <w:rsid w:val="3AB3113E"/>
    <w:rsid w:val="3B2F3A10"/>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9E959C6"/>
    <w:rsid w:val="4AA41507"/>
    <w:rsid w:val="4ABF672F"/>
    <w:rsid w:val="4AF46532"/>
    <w:rsid w:val="4B2E67E5"/>
    <w:rsid w:val="4B353B92"/>
    <w:rsid w:val="4B8C7097"/>
    <w:rsid w:val="4D5C779F"/>
    <w:rsid w:val="4DE12444"/>
    <w:rsid w:val="4E57005F"/>
    <w:rsid w:val="4EEC4C09"/>
    <w:rsid w:val="4F0C471A"/>
    <w:rsid w:val="502672BB"/>
    <w:rsid w:val="50507DBD"/>
    <w:rsid w:val="51063EB4"/>
    <w:rsid w:val="5200620F"/>
    <w:rsid w:val="5276424A"/>
    <w:rsid w:val="52D25739"/>
    <w:rsid w:val="52DC080A"/>
    <w:rsid w:val="52EF7DA2"/>
    <w:rsid w:val="53015AAC"/>
    <w:rsid w:val="530843A0"/>
    <w:rsid w:val="53252292"/>
    <w:rsid w:val="545E6A35"/>
    <w:rsid w:val="549A15C9"/>
    <w:rsid w:val="549D7D17"/>
    <w:rsid w:val="54A851F2"/>
    <w:rsid w:val="54B83F34"/>
    <w:rsid w:val="55870037"/>
    <w:rsid w:val="55C362D8"/>
    <w:rsid w:val="55C72C6D"/>
    <w:rsid w:val="55E06A28"/>
    <w:rsid w:val="58B318E9"/>
    <w:rsid w:val="596D4DDB"/>
    <w:rsid w:val="59793BB1"/>
    <w:rsid w:val="5AB72AA1"/>
    <w:rsid w:val="5BBE5020"/>
    <w:rsid w:val="5C104928"/>
    <w:rsid w:val="5C9A4262"/>
    <w:rsid w:val="5CA43D20"/>
    <w:rsid w:val="5DB061CB"/>
    <w:rsid w:val="5E2C0A11"/>
    <w:rsid w:val="5E354153"/>
    <w:rsid w:val="5E451CD8"/>
    <w:rsid w:val="5E693A13"/>
    <w:rsid w:val="5F5D2953"/>
    <w:rsid w:val="5FE9665E"/>
    <w:rsid w:val="61702DD2"/>
    <w:rsid w:val="61725905"/>
    <w:rsid w:val="61DE734E"/>
    <w:rsid w:val="6250429E"/>
    <w:rsid w:val="63467539"/>
    <w:rsid w:val="640C3630"/>
    <w:rsid w:val="64E4725D"/>
    <w:rsid w:val="65402EF2"/>
    <w:rsid w:val="65642353"/>
    <w:rsid w:val="65A64315"/>
    <w:rsid w:val="665E6EBE"/>
    <w:rsid w:val="66C8742F"/>
    <w:rsid w:val="66D0769C"/>
    <w:rsid w:val="677E6256"/>
    <w:rsid w:val="679F09F4"/>
    <w:rsid w:val="680F5ABD"/>
    <w:rsid w:val="689D2BC5"/>
    <w:rsid w:val="68A457D9"/>
    <w:rsid w:val="697F6219"/>
    <w:rsid w:val="69AF2B1A"/>
    <w:rsid w:val="6B6D349C"/>
    <w:rsid w:val="6BD9551D"/>
    <w:rsid w:val="6BE73F31"/>
    <w:rsid w:val="6C1F43A8"/>
    <w:rsid w:val="6D3B2357"/>
    <w:rsid w:val="6E2D2550"/>
    <w:rsid w:val="6F497745"/>
    <w:rsid w:val="6F5F68DA"/>
    <w:rsid w:val="6F850E96"/>
    <w:rsid w:val="70226A94"/>
    <w:rsid w:val="703360B8"/>
    <w:rsid w:val="72381AF4"/>
    <w:rsid w:val="728358DA"/>
    <w:rsid w:val="72C6222A"/>
    <w:rsid w:val="731377DE"/>
    <w:rsid w:val="742C54AE"/>
    <w:rsid w:val="75607141"/>
    <w:rsid w:val="75A002BE"/>
    <w:rsid w:val="76AC0645"/>
    <w:rsid w:val="770E65BD"/>
    <w:rsid w:val="773E5638"/>
    <w:rsid w:val="78991545"/>
    <w:rsid w:val="78DD10A7"/>
    <w:rsid w:val="7913209F"/>
    <w:rsid w:val="795B2413"/>
    <w:rsid w:val="79EC1D2A"/>
    <w:rsid w:val="7A37631C"/>
    <w:rsid w:val="7A501EC2"/>
    <w:rsid w:val="7B0A3221"/>
    <w:rsid w:val="7B7C36F5"/>
    <w:rsid w:val="7BD06A28"/>
    <w:rsid w:val="7BEF208B"/>
    <w:rsid w:val="7C2621D3"/>
    <w:rsid w:val="7C703294"/>
    <w:rsid w:val="7CA10588"/>
    <w:rsid w:val="7D085C71"/>
    <w:rsid w:val="7D622DC3"/>
    <w:rsid w:val="7F0F5650"/>
    <w:rsid w:val="7F0F6D9A"/>
    <w:rsid w:val="7F2659DD"/>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qFormat/>
    <w:uiPriority w:val="0"/>
    <w:pPr>
      <w:jc w:val="left"/>
    </w:pPr>
  </w:style>
  <w:style w:type="paragraph" w:styleId="4">
    <w:name w:val="Balloon Text"/>
    <w:basedOn w:val="1"/>
    <w:link w:val="14"/>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annotation subject"/>
    <w:basedOn w:val="3"/>
    <w:next w:val="3"/>
    <w:link w:val="16"/>
    <w:qFormat/>
    <w:uiPriority w:val="0"/>
    <w:rPr>
      <w:b/>
      <w:bCs/>
    </w:rPr>
  </w:style>
  <w:style w:type="character" w:styleId="11">
    <w:name w:val="annotation reference"/>
    <w:basedOn w:val="10"/>
    <w:qFormat/>
    <w:uiPriority w:val="0"/>
    <w:rPr>
      <w:sz w:val="21"/>
      <w:szCs w:val="21"/>
    </w:rPr>
  </w:style>
  <w:style w:type="character" w:customStyle="1" w:styleId="12">
    <w:name w:val="页眉 字符"/>
    <w:basedOn w:val="10"/>
    <w:link w:val="6"/>
    <w:qFormat/>
    <w:uiPriority w:val="0"/>
    <w:rPr>
      <w:rFonts w:ascii="Calibri" w:hAnsi="Calibri"/>
      <w:kern w:val="2"/>
      <w:sz w:val="18"/>
      <w:szCs w:val="18"/>
    </w:rPr>
  </w:style>
  <w:style w:type="character" w:customStyle="1" w:styleId="13">
    <w:name w:val="页脚 字符"/>
    <w:basedOn w:val="10"/>
    <w:link w:val="5"/>
    <w:qFormat/>
    <w:uiPriority w:val="0"/>
    <w:rPr>
      <w:rFonts w:ascii="Calibri" w:hAnsi="Calibri"/>
      <w:kern w:val="2"/>
      <w:sz w:val="18"/>
      <w:szCs w:val="18"/>
    </w:rPr>
  </w:style>
  <w:style w:type="character" w:customStyle="1" w:styleId="14">
    <w:name w:val="批注框文本 字符"/>
    <w:basedOn w:val="10"/>
    <w:link w:val="4"/>
    <w:qFormat/>
    <w:uiPriority w:val="0"/>
    <w:rPr>
      <w:rFonts w:ascii="Calibri" w:hAnsi="Calibri"/>
      <w:kern w:val="2"/>
      <w:sz w:val="18"/>
      <w:szCs w:val="18"/>
    </w:rPr>
  </w:style>
  <w:style w:type="character" w:customStyle="1" w:styleId="15">
    <w:name w:val="批注文字 字符"/>
    <w:basedOn w:val="10"/>
    <w:link w:val="3"/>
    <w:qFormat/>
    <w:uiPriority w:val="0"/>
    <w:rPr>
      <w:rFonts w:ascii="Calibri" w:hAnsi="Calibri"/>
      <w:kern w:val="2"/>
      <w:sz w:val="21"/>
      <w:szCs w:val="24"/>
    </w:rPr>
  </w:style>
  <w:style w:type="character" w:customStyle="1" w:styleId="16">
    <w:name w:val="批注主题 字符"/>
    <w:basedOn w:val="15"/>
    <w:link w:val="8"/>
    <w:qFormat/>
    <w:uiPriority w:val="0"/>
    <w:rPr>
      <w:rFonts w:ascii="Calibri" w:hAnsi="Calibri"/>
      <w:b/>
      <w:bCs/>
      <w:kern w:val="2"/>
      <w:sz w:val="21"/>
      <w:szCs w:val="24"/>
    </w:rPr>
  </w:style>
  <w:style w:type="paragraph" w:customStyle="1" w:styleId="17">
    <w:name w:val="修订1"/>
    <w:hidden/>
    <w:semiHidden/>
    <w:qFormat/>
    <w:uiPriority w:val="99"/>
    <w:rPr>
      <w:rFonts w:ascii="Calibri" w:hAnsi="Calibri" w:eastAsia="宋体" w:cs="Times New Roman"/>
      <w:kern w:val="2"/>
      <w:sz w:val="21"/>
      <w:szCs w:val="24"/>
      <w:lang w:val="en-US" w:eastAsia="zh-CN" w:bidi="ar-SA"/>
    </w:rPr>
  </w:style>
  <w:style w:type="paragraph" w:customStyle="1" w:styleId="18">
    <w:name w:val="修订2"/>
    <w:hidden/>
    <w:unhideWhenUsed/>
    <w:qFormat/>
    <w:uiPriority w:val="99"/>
    <w:rPr>
      <w:rFonts w:ascii="Calibri" w:hAnsi="Calibri" w:eastAsia="宋体" w:cs="Times New Roman"/>
      <w:kern w:val="2"/>
      <w:sz w:val="21"/>
      <w:szCs w:val="24"/>
      <w:lang w:val="en-US" w:eastAsia="zh-CN" w:bidi="ar-SA"/>
    </w:rPr>
  </w:style>
  <w:style w:type="paragraph" w:customStyle="1" w:styleId="19">
    <w:name w:val="修订3"/>
    <w:hidden/>
    <w:unhideWhenUsed/>
    <w:qFormat/>
    <w:uiPriority w:val="99"/>
    <w:rPr>
      <w:rFonts w:ascii="Calibri" w:hAnsi="Calibri" w:eastAsia="宋体" w:cs="Times New Roman"/>
      <w:kern w:val="2"/>
      <w:sz w:val="21"/>
      <w:szCs w:val="24"/>
      <w:lang w:val="en-US" w:eastAsia="zh-CN" w:bidi="ar-SA"/>
    </w:rPr>
  </w:style>
  <w:style w:type="table" w:customStyle="1" w:styleId="20">
    <w:name w:val="网格型6"/>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3225</Words>
  <Characters>3454</Characters>
  <Lines>27</Lines>
  <Paragraphs>7</Paragraphs>
  <TotalTime>0</TotalTime>
  <ScaleCrop>false</ScaleCrop>
  <LinksUpToDate>false</LinksUpToDate>
  <CharactersWithSpaces>3489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2020-03-19T02:16:00Z</dcterms:created>
  <dc:creator>Administrator</dc:creator>
  <cp:lastModifiedBy>ZHL</cp:lastModifiedBy>
  <cp:lastPrinted>2024-09-23T01:04:00Z</cp:lastPrinted>
  <dcterms:modified xsi:type="dcterms:W3CDTF">2025-11-27T06:55:04Z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76F462D5D9F04EFD82AD0DB9D148F398_13</vt:lpwstr>
  </property>
  <property fmtid="{D5CDD505-2E9C-101B-9397-08002B2CF9AE}" pid="4" name="KSOTemplateDocerSaveRecord">
    <vt:lpwstr>eyJoZGlkIjoiMzRkMzJiMGQ4YTM1OTNmNzg3Yjg0ODJiYzc3OGRkNzkiLCJ1c2VySWQiOiI0MjYwMDc2MTcifQ==</vt:lpwstr>
  </property>
</Properties>
</file>