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26326E58" w:rsidR="00760CAB" w:rsidRPr="00FE70EB" w:rsidRDefault="00FC7FEB" w:rsidP="007D084C">
      <w:pPr>
        <w:spacing w:line="360" w:lineRule="auto"/>
        <w:ind w:firstLineChars="252" w:firstLine="708"/>
        <w:rPr>
          <w:rFonts w:ascii="仿宋" w:eastAsia="仿宋" w:hAnsi="仿宋"/>
          <w:sz w:val="28"/>
          <w:szCs w:val="24"/>
        </w:rPr>
      </w:pPr>
      <w:bookmarkStart w:id="0" w:name="_Hlk89712118"/>
      <w:r w:rsidRPr="00FC7FEB">
        <w:rPr>
          <w:rFonts w:ascii="仿宋" w:eastAsia="仿宋" w:hAnsi="仿宋" w:hint="eastAsia"/>
          <w:b/>
          <w:bCs/>
          <w:sz w:val="28"/>
          <w:szCs w:val="24"/>
          <w:u w:val="single"/>
        </w:rPr>
        <w:t>广东振戎能源有限公司</w:t>
      </w:r>
      <w:r w:rsidR="00E42154" w:rsidRPr="006E4A1B">
        <w:rPr>
          <w:rFonts w:ascii="仿宋" w:eastAsia="仿宋" w:hAnsi="仿宋" w:hint="eastAsia"/>
          <w:b/>
          <w:bCs/>
          <w:sz w:val="28"/>
          <w:szCs w:val="24"/>
          <w:u w:val="single"/>
        </w:rPr>
        <w:t>等</w:t>
      </w:r>
      <w:r>
        <w:rPr>
          <w:rFonts w:ascii="仿宋" w:eastAsia="仿宋" w:hAnsi="仿宋"/>
          <w:b/>
          <w:bCs/>
          <w:sz w:val="28"/>
          <w:szCs w:val="24"/>
          <w:u w:val="single"/>
        </w:rPr>
        <w:t>2</w:t>
      </w:r>
      <w:r w:rsidR="00E42154" w:rsidRPr="006E4A1B">
        <w:rPr>
          <w:rFonts w:ascii="仿宋" w:eastAsia="仿宋" w:hAnsi="仿宋"/>
          <w:b/>
          <w:bCs/>
          <w:sz w:val="28"/>
          <w:szCs w:val="24"/>
          <w:u w:val="single"/>
        </w:rPr>
        <w:t>户不良债权</w:t>
      </w:r>
      <w:r w:rsidR="00E42154" w:rsidRPr="00FE70EB">
        <w:rPr>
          <w:rFonts w:ascii="仿宋" w:eastAsia="仿宋" w:hAnsi="仿宋"/>
          <w:sz w:val="28"/>
          <w:szCs w:val="24"/>
          <w:u w:val="single"/>
        </w:rPr>
        <w:t>（下称“标的债权”），</w:t>
      </w:r>
      <w:r w:rsidR="00E42154" w:rsidRPr="00FE70EB">
        <w:rPr>
          <w:rFonts w:ascii="仿宋" w:eastAsia="仿宋" w:hAnsi="仿宋" w:hint="eastAsia"/>
          <w:sz w:val="28"/>
          <w:szCs w:val="24"/>
        </w:rPr>
        <w:t>截至基准日</w:t>
      </w:r>
      <w:r w:rsidR="00E42154" w:rsidRPr="005958CD">
        <w:rPr>
          <w:rFonts w:ascii="仿宋" w:eastAsia="仿宋" w:hAnsi="仿宋"/>
          <w:sz w:val="28"/>
          <w:szCs w:val="24"/>
          <w:u w:val="single"/>
        </w:rPr>
        <w:t>2025</w:t>
      </w:r>
      <w:r w:rsidR="00E42154" w:rsidRPr="005958CD">
        <w:rPr>
          <w:rFonts w:ascii="仿宋" w:eastAsia="仿宋" w:hAnsi="仿宋"/>
          <w:sz w:val="28"/>
          <w:szCs w:val="24"/>
        </w:rPr>
        <w:t>年</w:t>
      </w:r>
      <w:r>
        <w:rPr>
          <w:rFonts w:ascii="仿宋" w:eastAsia="仿宋" w:hAnsi="仿宋"/>
          <w:sz w:val="28"/>
          <w:szCs w:val="24"/>
          <w:u w:val="single"/>
        </w:rPr>
        <w:t>9</w:t>
      </w:r>
      <w:r w:rsidR="00E42154" w:rsidRPr="005958CD">
        <w:rPr>
          <w:rFonts w:ascii="仿宋" w:eastAsia="仿宋" w:hAnsi="仿宋"/>
          <w:sz w:val="28"/>
          <w:szCs w:val="24"/>
        </w:rPr>
        <w:t>月</w:t>
      </w:r>
      <w:r>
        <w:rPr>
          <w:rFonts w:ascii="仿宋" w:eastAsia="仿宋" w:hAnsi="仿宋"/>
          <w:sz w:val="28"/>
          <w:szCs w:val="24"/>
          <w:u w:val="single"/>
        </w:rPr>
        <w:t>30</w:t>
      </w:r>
      <w:r w:rsidR="00E42154" w:rsidRPr="005958CD">
        <w:rPr>
          <w:rFonts w:ascii="仿宋" w:eastAsia="仿宋" w:hAnsi="仿宋"/>
          <w:sz w:val="28"/>
          <w:szCs w:val="24"/>
        </w:rPr>
        <w:t>日</w:t>
      </w:r>
      <w:r w:rsidR="00E42154" w:rsidRPr="00FE70EB">
        <w:rPr>
          <w:rFonts w:ascii="仿宋" w:eastAsia="仿宋" w:hAnsi="仿宋"/>
          <w:sz w:val="28"/>
          <w:szCs w:val="24"/>
        </w:rPr>
        <w:t>，</w:t>
      </w:r>
      <w:r w:rsidR="00E42154" w:rsidRPr="00FE70EB">
        <w:rPr>
          <w:rFonts w:ascii="仿宋" w:eastAsia="仿宋" w:hAnsi="仿宋" w:hint="eastAsia"/>
          <w:sz w:val="28"/>
          <w:szCs w:val="24"/>
        </w:rPr>
        <w:t>标的债权本金合计</w:t>
      </w:r>
      <w:r w:rsidRPr="00FC7FEB">
        <w:rPr>
          <w:rFonts w:ascii="仿宋" w:eastAsia="仿宋" w:hAnsi="仿宋"/>
          <w:sz w:val="28"/>
          <w:szCs w:val="24"/>
          <w:u w:val="single"/>
        </w:rPr>
        <w:t xml:space="preserve">64,839.69 </w:t>
      </w:r>
      <w:r w:rsidRPr="00FC7FEB">
        <w:rPr>
          <w:rFonts w:ascii="仿宋" w:eastAsia="仿宋" w:hAnsi="仿宋"/>
          <w:sz w:val="28"/>
          <w:szCs w:val="24"/>
        </w:rPr>
        <w:t>万元</w:t>
      </w:r>
      <w:r w:rsidR="00E42154" w:rsidRPr="00FE70EB">
        <w:rPr>
          <w:rFonts w:ascii="仿宋" w:eastAsia="仿宋" w:hAnsi="仿宋"/>
          <w:sz w:val="28"/>
          <w:szCs w:val="24"/>
        </w:rPr>
        <w:t>。</w:t>
      </w:r>
      <w:bookmarkEnd w:id="0"/>
      <w:r w:rsidR="00E42154"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5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66"/>
        <w:gridCol w:w="1124"/>
        <w:gridCol w:w="1056"/>
        <w:gridCol w:w="1056"/>
        <w:gridCol w:w="1161"/>
        <w:gridCol w:w="2231"/>
        <w:gridCol w:w="1628"/>
        <w:gridCol w:w="918"/>
      </w:tblGrid>
      <w:tr w:rsidR="00FC7FEB" w:rsidRPr="00C40853" w14:paraId="34952653" w14:textId="77777777" w:rsidTr="002C3E3E">
        <w:trPr>
          <w:trHeight w:val="614"/>
          <w:tblHeader/>
          <w:jc w:val="center"/>
        </w:trPr>
        <w:tc>
          <w:tcPr>
            <w:tcW w:w="263" w:type="pct"/>
            <w:shd w:val="clear" w:color="auto" w:fill="FFFFFF"/>
            <w:vAlign w:val="center"/>
          </w:tcPr>
          <w:p w14:paraId="123122A2"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序号</w:t>
            </w:r>
          </w:p>
        </w:tc>
        <w:tc>
          <w:tcPr>
            <w:tcW w:w="604" w:type="pct"/>
            <w:shd w:val="clear" w:color="auto" w:fill="FFFFFF"/>
            <w:vAlign w:val="center"/>
          </w:tcPr>
          <w:p w14:paraId="020A6EC8"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借款人名称</w:t>
            </w:r>
          </w:p>
        </w:tc>
        <w:tc>
          <w:tcPr>
            <w:tcW w:w="548" w:type="pct"/>
            <w:shd w:val="clear" w:color="auto" w:fill="FFFFFF"/>
            <w:vAlign w:val="center"/>
          </w:tcPr>
          <w:p w14:paraId="65489E89"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本金</w:t>
            </w:r>
          </w:p>
        </w:tc>
        <w:tc>
          <w:tcPr>
            <w:tcW w:w="477" w:type="pct"/>
            <w:shd w:val="clear" w:color="auto" w:fill="FFFFFF"/>
            <w:vAlign w:val="center"/>
          </w:tcPr>
          <w:p w14:paraId="2DF6CA3C"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利息</w:t>
            </w:r>
          </w:p>
        </w:tc>
        <w:tc>
          <w:tcPr>
            <w:tcW w:w="548" w:type="pct"/>
            <w:shd w:val="clear" w:color="auto" w:fill="FFFFFF"/>
            <w:vAlign w:val="center"/>
          </w:tcPr>
          <w:p w14:paraId="6FB92FD1" w14:textId="77777777" w:rsidR="00FC7FEB" w:rsidRPr="00C40853" w:rsidRDefault="00FC7FEB" w:rsidP="002C3E3E">
            <w:pPr>
              <w:jc w:val="center"/>
              <w:rPr>
                <w:rFonts w:ascii="Times New Roman" w:eastAsia="仿宋_GB2312" w:hAnsi="Times New Roman" w:cs="Times New Roman"/>
                <w:b/>
                <w:szCs w:val="21"/>
              </w:rPr>
            </w:pPr>
            <w:r>
              <w:rPr>
                <w:rFonts w:ascii="Times New Roman" w:eastAsia="仿宋_GB2312" w:hAnsi="Times New Roman" w:cs="Times New Roman" w:hint="eastAsia"/>
                <w:b/>
                <w:szCs w:val="21"/>
              </w:rPr>
              <w:t>本息合计</w:t>
            </w:r>
          </w:p>
        </w:tc>
        <w:tc>
          <w:tcPr>
            <w:tcW w:w="1198" w:type="pct"/>
            <w:shd w:val="clear" w:color="auto" w:fill="FFFFFF"/>
            <w:vAlign w:val="center"/>
          </w:tcPr>
          <w:p w14:paraId="2E6C64D4"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抵质押物情况</w:t>
            </w:r>
          </w:p>
        </w:tc>
        <w:tc>
          <w:tcPr>
            <w:tcW w:w="865" w:type="pct"/>
            <w:shd w:val="clear" w:color="auto" w:fill="FFFFFF"/>
            <w:vAlign w:val="center"/>
          </w:tcPr>
          <w:p w14:paraId="0F64F541"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保证人</w:t>
            </w:r>
          </w:p>
        </w:tc>
        <w:tc>
          <w:tcPr>
            <w:tcW w:w="497" w:type="pct"/>
            <w:shd w:val="clear" w:color="auto" w:fill="FFFFFF"/>
            <w:vAlign w:val="center"/>
          </w:tcPr>
          <w:p w14:paraId="2F218918"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诉讼情况</w:t>
            </w:r>
          </w:p>
        </w:tc>
      </w:tr>
      <w:tr w:rsidR="00FC7FEB" w:rsidRPr="00C40853" w14:paraId="1644130D" w14:textId="77777777" w:rsidTr="002C3E3E">
        <w:trPr>
          <w:trHeight w:val="454"/>
          <w:jc w:val="center"/>
        </w:trPr>
        <w:tc>
          <w:tcPr>
            <w:tcW w:w="263" w:type="pct"/>
            <w:shd w:val="clear" w:color="auto" w:fill="FFFFFF"/>
            <w:vAlign w:val="center"/>
          </w:tcPr>
          <w:p w14:paraId="58EC185D" w14:textId="77777777" w:rsidR="00FC7FEB" w:rsidRPr="00C40853" w:rsidRDefault="00FC7FEB" w:rsidP="002C3E3E">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1</w:t>
            </w:r>
          </w:p>
        </w:tc>
        <w:tc>
          <w:tcPr>
            <w:tcW w:w="604" w:type="pct"/>
            <w:shd w:val="clear" w:color="auto" w:fill="FFFFFF"/>
            <w:vAlign w:val="center"/>
          </w:tcPr>
          <w:p w14:paraId="746F9C4C" w14:textId="77777777" w:rsidR="00FC7FEB" w:rsidRPr="00240DA1" w:rsidRDefault="00FC7FEB" w:rsidP="002C3E3E">
            <w:pPr>
              <w:jc w:val="center"/>
              <w:rPr>
                <w:rFonts w:ascii="仿宋_GB2312" w:eastAsia="仿宋_GB2312" w:hAnsi="Times New Roman" w:cs="Times New Roman"/>
                <w:szCs w:val="21"/>
              </w:rPr>
            </w:pPr>
            <w:bookmarkStart w:id="1" w:name="_Hlk212038506"/>
            <w:r w:rsidRPr="00240DA1">
              <w:rPr>
                <w:rFonts w:ascii="仿宋_GB2312" w:eastAsia="仿宋_GB2312" w:hint="eastAsia"/>
              </w:rPr>
              <w:t>广东振戎能源有限公司</w:t>
            </w:r>
            <w:bookmarkEnd w:id="1"/>
            <w:r w:rsidRPr="00240DA1">
              <w:rPr>
                <w:rFonts w:ascii="仿宋_GB2312" w:eastAsia="仿宋_GB2312" w:hint="eastAsia"/>
              </w:rPr>
              <w:t>（农行3号包）</w:t>
            </w:r>
          </w:p>
        </w:tc>
        <w:tc>
          <w:tcPr>
            <w:tcW w:w="548" w:type="pct"/>
            <w:shd w:val="clear" w:color="auto" w:fill="FFFFFF"/>
            <w:vAlign w:val="center"/>
          </w:tcPr>
          <w:p w14:paraId="78CBFAC1" w14:textId="77777777" w:rsidR="00FC7FEB" w:rsidRPr="00C40853" w:rsidRDefault="00FC7FEB" w:rsidP="002C3E3E">
            <w:pPr>
              <w:jc w:val="center"/>
              <w:rPr>
                <w:rFonts w:ascii="Times New Roman" w:eastAsia="仿宋_GB2312" w:hAnsi="Times New Roman" w:cs="Times New Roman"/>
                <w:szCs w:val="21"/>
              </w:rPr>
            </w:pPr>
            <w:r w:rsidRPr="00AF203D">
              <w:rPr>
                <w:rFonts w:ascii="Times New Roman" w:eastAsia="仿宋_GB2312" w:hAnsi="Times New Roman" w:cs="Times New Roman"/>
                <w:szCs w:val="21"/>
              </w:rPr>
              <w:t>46,500.00</w:t>
            </w:r>
          </w:p>
        </w:tc>
        <w:tc>
          <w:tcPr>
            <w:tcW w:w="477" w:type="pct"/>
            <w:shd w:val="clear" w:color="auto" w:fill="FFFFFF"/>
            <w:vAlign w:val="center"/>
          </w:tcPr>
          <w:p w14:paraId="445FB4BA"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45,439.39</w:t>
            </w:r>
          </w:p>
        </w:tc>
        <w:tc>
          <w:tcPr>
            <w:tcW w:w="548" w:type="pct"/>
            <w:shd w:val="clear" w:color="auto" w:fill="FFFFFF"/>
            <w:vAlign w:val="center"/>
          </w:tcPr>
          <w:p w14:paraId="26A50BBA"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91,939.39</w:t>
            </w:r>
          </w:p>
        </w:tc>
        <w:tc>
          <w:tcPr>
            <w:tcW w:w="1198" w:type="pct"/>
            <w:shd w:val="clear" w:color="auto" w:fill="FFFFFF"/>
            <w:vAlign w:val="center"/>
          </w:tcPr>
          <w:p w14:paraId="24BFB557" w14:textId="77777777" w:rsidR="00FC7FEB" w:rsidRPr="00C40853" w:rsidRDefault="00FC7FEB" w:rsidP="002C3E3E">
            <w:pPr>
              <w:jc w:val="center"/>
              <w:rPr>
                <w:rFonts w:ascii="Times New Roman" w:eastAsia="仿宋_GB2312" w:hAnsi="Times New Roman" w:cs="Times New Roman"/>
                <w:szCs w:val="21"/>
              </w:rPr>
            </w:pPr>
            <w:r w:rsidRPr="00AF203D">
              <w:rPr>
                <w:rFonts w:ascii="Times New Roman" w:eastAsia="仿宋_GB2312" w:hAnsi="Times New Roman" w:cs="Times New Roman" w:hint="eastAsia"/>
                <w:szCs w:val="21"/>
              </w:rPr>
              <w:t>安徽省淮南市田家庵区朝阳街道龙湖社区财富中心</w:t>
            </w:r>
            <w:r w:rsidRPr="00AF203D">
              <w:rPr>
                <w:rFonts w:ascii="Times New Roman" w:eastAsia="仿宋_GB2312" w:hAnsi="Times New Roman" w:cs="Times New Roman"/>
                <w:szCs w:val="21"/>
              </w:rPr>
              <w:t>C</w:t>
            </w:r>
            <w:r w:rsidRPr="00AF203D">
              <w:rPr>
                <w:rFonts w:ascii="Times New Roman" w:eastAsia="仿宋_GB2312" w:hAnsi="Times New Roman" w:cs="Times New Roman"/>
                <w:szCs w:val="21"/>
              </w:rPr>
              <w:t>区</w:t>
            </w:r>
            <w:r w:rsidRPr="00AF203D">
              <w:rPr>
                <w:rFonts w:ascii="Times New Roman" w:eastAsia="仿宋_GB2312" w:hAnsi="Times New Roman" w:cs="Times New Roman"/>
                <w:szCs w:val="21"/>
              </w:rPr>
              <w:t>101</w:t>
            </w:r>
            <w:r w:rsidRPr="00AF203D">
              <w:rPr>
                <w:rFonts w:ascii="Times New Roman" w:eastAsia="仿宋_GB2312" w:hAnsi="Times New Roman" w:cs="Times New Roman"/>
                <w:szCs w:val="21"/>
              </w:rPr>
              <w:t>号。该抵押物对应土地证号为：房地权淮田字第</w:t>
            </w:r>
            <w:r w:rsidRPr="00AF203D">
              <w:rPr>
                <w:rFonts w:ascii="Times New Roman" w:eastAsia="仿宋_GB2312" w:hAnsi="Times New Roman" w:cs="Times New Roman"/>
                <w:szCs w:val="21"/>
              </w:rPr>
              <w:t>08006911</w:t>
            </w:r>
            <w:r w:rsidRPr="00AF203D">
              <w:rPr>
                <w:rFonts w:ascii="Times New Roman" w:eastAsia="仿宋_GB2312" w:hAnsi="Times New Roman" w:cs="Times New Roman"/>
                <w:szCs w:val="21"/>
              </w:rPr>
              <w:t>号。建筑面积</w:t>
            </w:r>
            <w:r w:rsidRPr="00AF203D">
              <w:rPr>
                <w:rFonts w:ascii="Times New Roman" w:eastAsia="仿宋_GB2312" w:hAnsi="Times New Roman" w:cs="Times New Roman"/>
                <w:szCs w:val="21"/>
              </w:rPr>
              <w:t>1,241.56</w:t>
            </w:r>
            <w:r w:rsidRPr="00AF203D">
              <w:rPr>
                <w:rFonts w:ascii="Times New Roman" w:eastAsia="仿宋_GB2312" w:hAnsi="Times New Roman" w:cs="Times New Roman"/>
                <w:szCs w:val="21"/>
              </w:rPr>
              <w:t>平方米。</w:t>
            </w:r>
          </w:p>
        </w:tc>
        <w:tc>
          <w:tcPr>
            <w:tcW w:w="865" w:type="pct"/>
            <w:shd w:val="clear" w:color="auto" w:fill="FFFFFF"/>
            <w:vAlign w:val="center"/>
          </w:tcPr>
          <w:p w14:paraId="699C8B1E" w14:textId="77777777" w:rsidR="00FC7FEB" w:rsidRPr="00AF203D" w:rsidRDefault="00FC7FEB" w:rsidP="002C3E3E">
            <w:pPr>
              <w:jc w:val="center"/>
              <w:rPr>
                <w:rFonts w:ascii="Times New Roman" w:eastAsia="仿宋_GB2312" w:hAnsi="Times New Roman" w:cs="Times New Roman"/>
                <w:szCs w:val="21"/>
              </w:rPr>
            </w:pPr>
            <w:bookmarkStart w:id="2" w:name="_Hlk212038764"/>
            <w:r w:rsidRPr="00AF203D">
              <w:rPr>
                <w:rFonts w:ascii="Times New Roman" w:eastAsia="仿宋_GB2312" w:hAnsi="Times New Roman" w:cs="Times New Roman"/>
                <w:szCs w:val="21"/>
              </w:rPr>
              <w:t>安徽省金大陆房地产开发</w:t>
            </w:r>
          </w:p>
          <w:p w14:paraId="3591E6CD" w14:textId="77777777" w:rsidR="00FC7FEB" w:rsidRPr="00AF203D" w:rsidRDefault="00FC7FEB" w:rsidP="002C3E3E">
            <w:pPr>
              <w:jc w:val="center"/>
              <w:rPr>
                <w:rFonts w:ascii="Times New Roman" w:eastAsia="仿宋_GB2312" w:hAnsi="Times New Roman" w:cs="Times New Roman"/>
                <w:szCs w:val="21"/>
              </w:rPr>
            </w:pPr>
            <w:r w:rsidRPr="00AF203D">
              <w:rPr>
                <w:rFonts w:ascii="Times New Roman" w:eastAsia="仿宋_GB2312" w:hAnsi="Times New Roman" w:cs="Times New Roman" w:hint="eastAsia"/>
                <w:szCs w:val="21"/>
              </w:rPr>
              <w:t>有限公司</w:t>
            </w:r>
            <w:bookmarkEnd w:id="2"/>
            <w:r w:rsidRPr="00AF203D">
              <w:rPr>
                <w:rFonts w:ascii="Times New Roman" w:eastAsia="仿宋_GB2312" w:hAnsi="Times New Roman" w:cs="Times New Roman" w:hint="eastAsia"/>
                <w:szCs w:val="21"/>
              </w:rPr>
              <w:t>、</w:t>
            </w:r>
            <w:bookmarkStart w:id="3" w:name="_Hlk212038877"/>
            <w:r w:rsidRPr="00AF203D">
              <w:rPr>
                <w:rFonts w:ascii="Times New Roman" w:eastAsia="仿宋_GB2312" w:hAnsi="Times New Roman" w:cs="Times New Roman" w:hint="eastAsia"/>
                <w:szCs w:val="21"/>
              </w:rPr>
              <w:t>广州南沙振戎仓储有限公司</w:t>
            </w:r>
            <w:bookmarkEnd w:id="3"/>
            <w:r w:rsidRPr="00AF203D">
              <w:rPr>
                <w:rFonts w:ascii="Times New Roman" w:eastAsia="仿宋_GB2312" w:hAnsi="Times New Roman" w:cs="Times New Roman" w:hint="eastAsia"/>
                <w:szCs w:val="21"/>
              </w:rPr>
              <w:t>、上海敬</w:t>
            </w:r>
            <w:r w:rsidRPr="002A25A6">
              <w:rPr>
                <w:rFonts w:asciiTheme="minorEastAsia" w:hAnsiTheme="minorEastAsia" w:cs="微软雅黑" w:hint="eastAsia"/>
                <w:szCs w:val="21"/>
              </w:rPr>
              <w:t>镕</w:t>
            </w:r>
            <w:r w:rsidRPr="00AF203D">
              <w:rPr>
                <w:rFonts w:ascii="仿宋_GB2312" w:eastAsia="仿宋_GB2312" w:hAnsi="仿宋_GB2312" w:cs="仿宋_GB2312" w:hint="eastAsia"/>
                <w:szCs w:val="21"/>
              </w:rPr>
              <w:t>实业</w:t>
            </w:r>
          </w:p>
          <w:p w14:paraId="39500557" w14:textId="77777777" w:rsidR="00FC7FEB" w:rsidRPr="00C40853" w:rsidRDefault="00FC7FEB" w:rsidP="002C3E3E">
            <w:pPr>
              <w:jc w:val="center"/>
              <w:rPr>
                <w:rFonts w:ascii="Times New Roman" w:eastAsia="仿宋_GB2312" w:hAnsi="Times New Roman" w:cs="Times New Roman"/>
                <w:szCs w:val="21"/>
              </w:rPr>
            </w:pPr>
            <w:r w:rsidRPr="00AF203D">
              <w:rPr>
                <w:rFonts w:ascii="Times New Roman" w:eastAsia="仿宋_GB2312" w:hAnsi="Times New Roman" w:cs="Times New Roman" w:hint="eastAsia"/>
                <w:szCs w:val="21"/>
              </w:rPr>
              <w:t>有限公司</w:t>
            </w:r>
          </w:p>
        </w:tc>
        <w:tc>
          <w:tcPr>
            <w:tcW w:w="497" w:type="pct"/>
            <w:shd w:val="clear" w:color="auto" w:fill="FFFFFF"/>
            <w:vAlign w:val="center"/>
          </w:tcPr>
          <w:p w14:paraId="4DE99D4B"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终本执行</w:t>
            </w:r>
          </w:p>
        </w:tc>
      </w:tr>
      <w:tr w:rsidR="00FC7FEB" w:rsidRPr="00C40853" w14:paraId="787C14B2" w14:textId="77777777" w:rsidTr="002C3E3E">
        <w:trPr>
          <w:trHeight w:val="454"/>
          <w:jc w:val="center"/>
        </w:trPr>
        <w:tc>
          <w:tcPr>
            <w:tcW w:w="263" w:type="pct"/>
            <w:shd w:val="clear" w:color="auto" w:fill="FFFFFF"/>
            <w:vAlign w:val="center"/>
          </w:tcPr>
          <w:p w14:paraId="4C9B942B" w14:textId="77777777" w:rsidR="00FC7FEB" w:rsidRPr="00C40853" w:rsidRDefault="00FC7FEB" w:rsidP="002C3E3E">
            <w:pPr>
              <w:jc w:val="center"/>
              <w:rPr>
                <w:rFonts w:ascii="Times New Roman" w:eastAsia="仿宋_GB2312" w:hAnsi="Times New Roman" w:cs="Times New Roman"/>
                <w:szCs w:val="21"/>
              </w:rPr>
            </w:pPr>
            <w:r w:rsidRPr="00C40853">
              <w:rPr>
                <w:rFonts w:ascii="Times New Roman" w:eastAsia="仿宋_GB2312" w:hAnsi="Times New Roman" w:cs="Times New Roman"/>
                <w:szCs w:val="21"/>
              </w:rPr>
              <w:t>2</w:t>
            </w:r>
          </w:p>
        </w:tc>
        <w:tc>
          <w:tcPr>
            <w:tcW w:w="604" w:type="pct"/>
            <w:shd w:val="clear" w:color="auto" w:fill="FFFFFF"/>
            <w:vAlign w:val="center"/>
          </w:tcPr>
          <w:p w14:paraId="0790032D" w14:textId="77777777" w:rsidR="00FC7FEB" w:rsidRPr="00240DA1" w:rsidRDefault="00FC7FEB" w:rsidP="002C3E3E">
            <w:pPr>
              <w:jc w:val="center"/>
              <w:rPr>
                <w:rFonts w:ascii="仿宋_GB2312" w:eastAsia="仿宋_GB2312" w:hAnsi="Times New Roman" w:cs="Times New Roman"/>
                <w:szCs w:val="21"/>
              </w:rPr>
            </w:pPr>
            <w:r w:rsidRPr="00240DA1">
              <w:rPr>
                <w:rFonts w:ascii="仿宋_GB2312" w:eastAsia="仿宋_GB2312" w:hint="eastAsia"/>
              </w:rPr>
              <w:t>广东振戎能源有限公司（广农商行长荣包）</w:t>
            </w:r>
          </w:p>
        </w:tc>
        <w:tc>
          <w:tcPr>
            <w:tcW w:w="548" w:type="pct"/>
            <w:shd w:val="clear" w:color="auto" w:fill="FFFFFF"/>
            <w:vAlign w:val="center"/>
          </w:tcPr>
          <w:p w14:paraId="3AD688C0" w14:textId="77777777" w:rsidR="00FC7FEB" w:rsidRPr="00C40853" w:rsidRDefault="00FC7FEB" w:rsidP="002C3E3E">
            <w:pPr>
              <w:jc w:val="center"/>
              <w:rPr>
                <w:rFonts w:ascii="Times New Roman" w:eastAsia="仿宋_GB2312" w:hAnsi="Times New Roman" w:cs="Times New Roman"/>
                <w:szCs w:val="21"/>
              </w:rPr>
            </w:pPr>
            <w:r w:rsidRPr="00AF203D">
              <w:rPr>
                <w:rFonts w:ascii="Times New Roman" w:eastAsia="仿宋_GB2312" w:hAnsi="Times New Roman" w:cs="Times New Roman"/>
                <w:szCs w:val="21"/>
              </w:rPr>
              <w:t>18,339.69</w:t>
            </w:r>
          </w:p>
        </w:tc>
        <w:tc>
          <w:tcPr>
            <w:tcW w:w="477" w:type="pct"/>
            <w:shd w:val="clear" w:color="auto" w:fill="FFFFFF"/>
            <w:vAlign w:val="center"/>
          </w:tcPr>
          <w:p w14:paraId="5348F874"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16,654.62</w:t>
            </w:r>
          </w:p>
        </w:tc>
        <w:tc>
          <w:tcPr>
            <w:tcW w:w="548" w:type="pct"/>
            <w:shd w:val="clear" w:color="auto" w:fill="FFFFFF"/>
            <w:vAlign w:val="center"/>
          </w:tcPr>
          <w:p w14:paraId="317057A7"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34,994.31</w:t>
            </w:r>
          </w:p>
        </w:tc>
        <w:tc>
          <w:tcPr>
            <w:tcW w:w="1198" w:type="pct"/>
            <w:shd w:val="clear" w:color="auto" w:fill="FFFFFF"/>
            <w:vAlign w:val="center"/>
          </w:tcPr>
          <w:p w14:paraId="3DDF6F85"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无</w:t>
            </w:r>
          </w:p>
        </w:tc>
        <w:tc>
          <w:tcPr>
            <w:tcW w:w="865" w:type="pct"/>
            <w:shd w:val="clear" w:color="auto" w:fill="FFFFFF"/>
            <w:vAlign w:val="center"/>
          </w:tcPr>
          <w:p w14:paraId="3FC61097" w14:textId="77777777" w:rsidR="00FC7FEB" w:rsidRPr="00C40853" w:rsidRDefault="00FC7FEB" w:rsidP="002C3E3E">
            <w:pPr>
              <w:jc w:val="center"/>
              <w:rPr>
                <w:rFonts w:ascii="Times New Roman" w:eastAsia="仿宋_GB2312" w:hAnsi="Times New Roman" w:cs="Times New Roman"/>
                <w:szCs w:val="21"/>
              </w:rPr>
            </w:pPr>
            <w:r w:rsidRPr="002A25A6">
              <w:rPr>
                <w:rFonts w:ascii="Times New Roman" w:eastAsia="仿宋_GB2312" w:hAnsi="Times New Roman" w:cs="Times New Roman" w:hint="eastAsia"/>
                <w:szCs w:val="21"/>
              </w:rPr>
              <w:t>珠海金凯能源有限公司、</w:t>
            </w:r>
            <w:bookmarkStart w:id="4" w:name="_Hlk212038990"/>
            <w:r w:rsidRPr="002A25A6">
              <w:rPr>
                <w:rFonts w:ascii="Times New Roman" w:eastAsia="仿宋_GB2312" w:hAnsi="Times New Roman" w:cs="Times New Roman" w:hint="eastAsia"/>
                <w:szCs w:val="21"/>
              </w:rPr>
              <w:t>广东振戎资源有限公司</w:t>
            </w:r>
            <w:bookmarkEnd w:id="4"/>
          </w:p>
        </w:tc>
        <w:tc>
          <w:tcPr>
            <w:tcW w:w="497" w:type="pct"/>
            <w:shd w:val="clear" w:color="auto" w:fill="FFFFFF"/>
            <w:vAlign w:val="center"/>
          </w:tcPr>
          <w:p w14:paraId="2C775171"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终本执行</w:t>
            </w:r>
          </w:p>
        </w:tc>
      </w:tr>
      <w:tr w:rsidR="00FC7FEB" w:rsidRPr="00C40853" w14:paraId="1606A334" w14:textId="77777777" w:rsidTr="002C3E3E">
        <w:trPr>
          <w:trHeight w:val="454"/>
          <w:jc w:val="center"/>
        </w:trPr>
        <w:tc>
          <w:tcPr>
            <w:tcW w:w="867" w:type="pct"/>
            <w:gridSpan w:val="2"/>
            <w:shd w:val="clear" w:color="auto" w:fill="FFFFFF"/>
            <w:vAlign w:val="center"/>
          </w:tcPr>
          <w:p w14:paraId="4B32D6CA" w14:textId="77777777" w:rsidR="00FC7FEB" w:rsidRPr="00C40853" w:rsidRDefault="00FC7FEB" w:rsidP="002C3E3E">
            <w:pPr>
              <w:jc w:val="center"/>
              <w:rPr>
                <w:rFonts w:ascii="Times New Roman" w:eastAsia="仿宋_GB2312" w:hAnsi="Times New Roman" w:cs="Times New Roman"/>
                <w:b/>
                <w:szCs w:val="21"/>
              </w:rPr>
            </w:pPr>
            <w:r w:rsidRPr="00C40853">
              <w:rPr>
                <w:rFonts w:ascii="Times New Roman" w:eastAsia="仿宋_GB2312" w:hAnsi="Times New Roman" w:cs="Times New Roman"/>
                <w:b/>
                <w:szCs w:val="21"/>
              </w:rPr>
              <w:t>合计</w:t>
            </w:r>
          </w:p>
        </w:tc>
        <w:tc>
          <w:tcPr>
            <w:tcW w:w="548" w:type="pct"/>
            <w:shd w:val="clear" w:color="auto" w:fill="FFFFFF"/>
            <w:vAlign w:val="center"/>
          </w:tcPr>
          <w:p w14:paraId="7866F366" w14:textId="77777777" w:rsidR="00FC7FEB" w:rsidRPr="00C40853" w:rsidRDefault="00FC7FEB" w:rsidP="002C3E3E">
            <w:pPr>
              <w:jc w:val="center"/>
              <w:rPr>
                <w:rFonts w:ascii="Times New Roman" w:eastAsia="仿宋_GB2312" w:hAnsi="Times New Roman" w:cs="Times New Roman"/>
                <w:szCs w:val="21"/>
              </w:rPr>
            </w:pPr>
            <w:r w:rsidRPr="004B23B7">
              <w:rPr>
                <w:rFonts w:ascii="Times New Roman" w:eastAsia="仿宋_GB2312" w:hAnsi="Times New Roman" w:cs="Times New Roman"/>
                <w:szCs w:val="21"/>
              </w:rPr>
              <w:t>64,839.69</w:t>
            </w:r>
          </w:p>
        </w:tc>
        <w:tc>
          <w:tcPr>
            <w:tcW w:w="477" w:type="pct"/>
            <w:shd w:val="clear" w:color="auto" w:fill="FFFFFF"/>
            <w:vAlign w:val="center"/>
          </w:tcPr>
          <w:p w14:paraId="20947F1A"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62,094.01</w:t>
            </w:r>
          </w:p>
        </w:tc>
        <w:tc>
          <w:tcPr>
            <w:tcW w:w="548" w:type="pct"/>
            <w:shd w:val="clear" w:color="auto" w:fill="FFFFFF"/>
            <w:vAlign w:val="center"/>
          </w:tcPr>
          <w:p w14:paraId="7BDCC369" w14:textId="77777777" w:rsidR="00FC7FEB" w:rsidRPr="00C40853" w:rsidRDefault="00FC7FEB" w:rsidP="002C3E3E">
            <w:pPr>
              <w:jc w:val="center"/>
              <w:rPr>
                <w:rFonts w:ascii="Times New Roman" w:eastAsia="仿宋_GB2312" w:hAnsi="Times New Roman" w:cs="Times New Roman"/>
                <w:szCs w:val="21"/>
              </w:rPr>
            </w:pPr>
            <w:r>
              <w:rPr>
                <w:rFonts w:ascii="Times New Roman" w:eastAsia="仿宋_GB2312" w:hAnsi="Times New Roman" w:cs="Times New Roman"/>
                <w:szCs w:val="21"/>
              </w:rPr>
              <w:t xml:space="preserve">126,933.70 </w:t>
            </w:r>
          </w:p>
        </w:tc>
        <w:tc>
          <w:tcPr>
            <w:tcW w:w="1198" w:type="pct"/>
            <w:shd w:val="clear" w:color="auto" w:fill="FFFFFF"/>
            <w:vAlign w:val="center"/>
          </w:tcPr>
          <w:p w14:paraId="5F419179" w14:textId="77777777" w:rsidR="00FC7FEB" w:rsidRPr="00C40853" w:rsidRDefault="00FC7FEB" w:rsidP="002C3E3E">
            <w:pPr>
              <w:jc w:val="center"/>
              <w:rPr>
                <w:rFonts w:ascii="Times New Roman" w:eastAsia="仿宋_GB2312" w:hAnsi="Times New Roman" w:cs="Times New Roman"/>
                <w:szCs w:val="21"/>
              </w:rPr>
            </w:pPr>
          </w:p>
        </w:tc>
        <w:tc>
          <w:tcPr>
            <w:tcW w:w="865" w:type="pct"/>
            <w:shd w:val="clear" w:color="auto" w:fill="FFFFFF"/>
            <w:vAlign w:val="center"/>
          </w:tcPr>
          <w:p w14:paraId="7176B262" w14:textId="77777777" w:rsidR="00FC7FEB" w:rsidRPr="00C40853" w:rsidRDefault="00FC7FEB" w:rsidP="002C3E3E">
            <w:pPr>
              <w:jc w:val="center"/>
              <w:rPr>
                <w:rFonts w:ascii="Times New Roman" w:eastAsia="仿宋_GB2312" w:hAnsi="Times New Roman" w:cs="Times New Roman"/>
                <w:szCs w:val="21"/>
              </w:rPr>
            </w:pPr>
          </w:p>
        </w:tc>
        <w:tc>
          <w:tcPr>
            <w:tcW w:w="497" w:type="pct"/>
            <w:tcBorders>
              <w:top w:val="nil"/>
              <w:bottom w:val="single" w:sz="4" w:space="0" w:color="auto"/>
            </w:tcBorders>
            <w:shd w:val="clear" w:color="auto" w:fill="FFFFFF"/>
            <w:vAlign w:val="center"/>
          </w:tcPr>
          <w:p w14:paraId="71A65B3A" w14:textId="77777777" w:rsidR="00FC7FEB" w:rsidRPr="00C40853" w:rsidRDefault="00FC7FEB" w:rsidP="002C3E3E">
            <w:pPr>
              <w:widowControl/>
              <w:jc w:val="center"/>
              <w:rPr>
                <w:rFonts w:ascii="Times New Roman"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6567E652" w14:textId="677320BD" w:rsidR="00E42154" w:rsidRDefault="00E42154" w:rsidP="00E42154">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Pr="00BB5EE6">
        <w:rPr>
          <w:rFonts w:ascii="仿宋_GB2312" w:eastAsia="仿宋_GB2312" w:hAnsi="仿宋" w:cs="仿宋" w:hint="eastAsia"/>
          <w:color w:val="000000"/>
          <w:sz w:val="28"/>
          <w:szCs w:val="28"/>
        </w:rPr>
        <w:t>抵押物</w:t>
      </w:r>
      <w:r>
        <w:rPr>
          <w:rFonts w:ascii="仿宋_GB2312" w:eastAsia="仿宋_GB2312" w:hAnsi="仿宋" w:cs="仿宋" w:hint="eastAsia"/>
          <w:color w:val="000000"/>
          <w:sz w:val="28"/>
          <w:szCs w:val="28"/>
        </w:rPr>
        <w:t>为</w:t>
      </w:r>
      <w:r w:rsidR="00147A7B" w:rsidRPr="00147A7B">
        <w:rPr>
          <w:rFonts w:ascii="仿宋_GB2312" w:eastAsia="仿宋_GB2312" w:hAnsi="仿宋" w:cs="仿宋" w:hint="eastAsia"/>
          <w:color w:val="000000"/>
          <w:sz w:val="28"/>
          <w:szCs w:val="28"/>
        </w:rPr>
        <w:t>安徽省淮南市田家庵区朝阳街道龙湖社区财富中心</w:t>
      </w:r>
      <w:r w:rsidR="00147A7B" w:rsidRPr="00147A7B">
        <w:rPr>
          <w:rFonts w:ascii="仿宋_GB2312" w:eastAsia="仿宋_GB2312" w:hAnsi="仿宋" w:cs="仿宋"/>
          <w:color w:val="000000"/>
          <w:sz w:val="28"/>
          <w:szCs w:val="28"/>
        </w:rPr>
        <w:t>C区101号商业物业</w:t>
      </w:r>
      <w:r>
        <w:rPr>
          <w:rFonts w:ascii="仿宋_GB2312" w:eastAsia="仿宋_GB2312" w:hAnsi="仿宋" w:cs="仿宋" w:hint="eastAsia"/>
          <w:color w:val="000000"/>
          <w:sz w:val="28"/>
          <w:szCs w:val="28"/>
        </w:rPr>
        <w:t>，具体如下：</w:t>
      </w:r>
    </w:p>
    <w:p w14:paraId="12B5296C" w14:textId="30F998D9" w:rsidR="00EB1BCD" w:rsidRDefault="00147A7B" w:rsidP="00AA61AF">
      <w:pPr>
        <w:pStyle w:val="ab"/>
        <w:widowControl/>
        <w:spacing w:line="360" w:lineRule="atLeast"/>
        <w:ind w:firstLineChars="200" w:firstLine="560"/>
        <w:rPr>
          <w:rFonts w:ascii="仿宋" w:hAnsi="仿宋"/>
          <w:bCs/>
          <w:kern w:val="0"/>
          <w:sz w:val="28"/>
          <w:szCs w:val="32"/>
        </w:rPr>
      </w:pPr>
      <w:r>
        <w:rPr>
          <w:rFonts w:ascii="仿宋_GB2312" w:eastAsia="仿宋_GB2312" w:hAnsi="仿宋" w:cs="仿宋" w:hint="eastAsia"/>
          <w:color w:val="000000"/>
          <w:sz w:val="28"/>
          <w:szCs w:val="28"/>
        </w:rPr>
        <w:t>抵押物所在商场合肥百大淮南购物中心，</w:t>
      </w:r>
      <w:r w:rsidRPr="00147A7B">
        <w:rPr>
          <w:rFonts w:ascii="仿宋_GB2312" w:eastAsia="仿宋_GB2312" w:hAnsi="仿宋" w:cs="仿宋" w:hint="eastAsia"/>
          <w:color w:val="000000"/>
          <w:sz w:val="28"/>
          <w:szCs w:val="28"/>
        </w:rPr>
        <w:t>位于淮南市田家庵区人民南路与国庆中路交口西南侧，东临人民南路，南临龙湖小区，西临锦绣广场，北临国庆中路，距离火车站约</w:t>
      </w:r>
      <w:r w:rsidRPr="00147A7B">
        <w:rPr>
          <w:rFonts w:ascii="仿宋_GB2312" w:eastAsia="仿宋_GB2312" w:hAnsi="仿宋" w:cs="仿宋"/>
          <w:color w:val="000000"/>
          <w:sz w:val="28"/>
          <w:szCs w:val="28"/>
        </w:rPr>
        <w:t>2.0公里、长途汽车站约0.7</w:t>
      </w:r>
      <w:r w:rsidRPr="00147A7B">
        <w:rPr>
          <w:rFonts w:ascii="仿宋_GB2312" w:eastAsia="仿宋_GB2312" w:hAnsi="仿宋" w:cs="仿宋"/>
          <w:color w:val="000000"/>
          <w:sz w:val="28"/>
          <w:szCs w:val="28"/>
        </w:rPr>
        <w:lastRenderedPageBreak/>
        <w:t>公里，与大润发超市、淮南市妇幼保健院、淮南市田家庵区人民政府、龙湖路商业街等重要设施距离多数在1公里以内，服务半径较短。抵押物所在的商场一楼已打通重新分割成若干商铺出租，商铺大多为服装、鞋履店铺，均在正常营业。</w:t>
      </w: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80"/>
        <w:gridCol w:w="4222"/>
      </w:tblGrid>
      <w:tr w:rsidR="00E42154" w:rsidRPr="00E01F5E" w14:paraId="7C619D62" w14:textId="77777777" w:rsidTr="0092065E">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6A7DEFB3" w14:textId="0F6BBAD4" w:rsidR="00E42154" w:rsidRPr="007E3D94" w:rsidRDefault="00AA61AF" w:rsidP="0092065E">
            <w:pPr>
              <w:rPr>
                <w:rFonts w:eastAsia="仿宋_GB2312"/>
                <w:szCs w:val="21"/>
              </w:rPr>
            </w:pPr>
            <w:r>
              <w:rPr>
                <w:rFonts w:eastAsia="仿宋_GB2312"/>
                <w:noProof/>
                <w:szCs w:val="21"/>
              </w:rPr>
              <w:drawing>
                <wp:inline distT="0" distB="0" distL="0" distR="0" wp14:anchorId="35AFA211" wp14:editId="0442BD7B">
                  <wp:extent cx="5212715" cy="284734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2715" cy="2847340"/>
                          </a:xfrm>
                          <a:prstGeom prst="rect">
                            <a:avLst/>
                          </a:prstGeom>
                          <a:noFill/>
                        </pic:spPr>
                      </pic:pic>
                    </a:graphicData>
                  </a:graphic>
                </wp:inline>
              </w:drawing>
            </w:r>
          </w:p>
        </w:tc>
      </w:tr>
      <w:tr w:rsidR="00AA61AF" w:rsidRPr="00E01F5E" w14:paraId="6EC9D119" w14:textId="77777777" w:rsidTr="00AA61AF">
        <w:trPr>
          <w:trHeight w:val="2840"/>
        </w:trPr>
        <w:tc>
          <w:tcPr>
            <w:tcW w:w="3256" w:type="dxa"/>
            <w:tcBorders>
              <w:top w:val="dashed" w:sz="4" w:space="0" w:color="auto"/>
              <w:left w:val="dashed" w:sz="4" w:space="0" w:color="auto"/>
              <w:bottom w:val="dashed" w:sz="4" w:space="0" w:color="auto"/>
              <w:right w:val="dashed" w:sz="4" w:space="0" w:color="auto"/>
            </w:tcBorders>
          </w:tcPr>
          <w:p w14:paraId="22CBE7A7" w14:textId="288A88D6" w:rsidR="00AA61AF" w:rsidRPr="00E01F5E" w:rsidRDefault="00AA61AF" w:rsidP="0092065E">
            <w:pPr>
              <w:rPr>
                <w:rFonts w:eastAsia="仿宋_GB2312"/>
                <w:noProof/>
                <w:sz w:val="32"/>
                <w:szCs w:val="32"/>
              </w:rPr>
            </w:pPr>
            <w:r>
              <w:rPr>
                <w:rFonts w:eastAsia="仿宋_GB2312"/>
                <w:noProof/>
                <w:sz w:val="32"/>
                <w:szCs w:val="32"/>
              </w:rPr>
              <w:drawing>
                <wp:inline distT="0" distB="0" distL="0" distR="0" wp14:anchorId="1ABBEBD5" wp14:editId="380F6371">
                  <wp:extent cx="2489578" cy="18669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3411" cy="1877273"/>
                          </a:xfrm>
                          <a:prstGeom prst="rect">
                            <a:avLst/>
                          </a:prstGeom>
                          <a:noFill/>
                        </pic:spPr>
                      </pic:pic>
                    </a:graphicData>
                  </a:graphic>
                </wp:inline>
              </w:drawing>
            </w:r>
          </w:p>
        </w:tc>
        <w:tc>
          <w:tcPr>
            <w:tcW w:w="5046" w:type="dxa"/>
            <w:tcBorders>
              <w:top w:val="dashed" w:sz="4" w:space="0" w:color="auto"/>
              <w:left w:val="dashed" w:sz="4" w:space="0" w:color="auto"/>
              <w:bottom w:val="dashed" w:sz="4" w:space="0" w:color="auto"/>
              <w:right w:val="dashed" w:sz="4" w:space="0" w:color="auto"/>
            </w:tcBorders>
          </w:tcPr>
          <w:p w14:paraId="47DFC65E" w14:textId="060F9D2A" w:rsidR="00AA61AF" w:rsidRPr="00E01F5E" w:rsidRDefault="00AA61AF" w:rsidP="0092065E">
            <w:pPr>
              <w:rPr>
                <w:rFonts w:eastAsia="仿宋_GB2312"/>
                <w:noProof/>
                <w:sz w:val="32"/>
                <w:szCs w:val="32"/>
              </w:rPr>
            </w:pPr>
            <w:r>
              <w:rPr>
                <w:rFonts w:eastAsia="仿宋_GB2312"/>
                <w:noProof/>
                <w:sz w:val="32"/>
                <w:szCs w:val="32"/>
              </w:rPr>
              <w:drawing>
                <wp:inline distT="0" distB="0" distL="0" distR="0" wp14:anchorId="751A7980" wp14:editId="154D44A0">
                  <wp:extent cx="2501900" cy="187218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2495" cy="1895081"/>
                          </a:xfrm>
                          <a:prstGeom prst="rect">
                            <a:avLst/>
                          </a:prstGeom>
                          <a:noFill/>
                        </pic:spPr>
                      </pic:pic>
                    </a:graphicData>
                  </a:graphic>
                </wp:inline>
              </w:drawing>
            </w:r>
          </w:p>
        </w:tc>
      </w:tr>
      <w:tr w:rsidR="00E42154" w:rsidRPr="00E01F5E" w14:paraId="51D31668" w14:textId="77777777" w:rsidTr="00AA61AF">
        <w:tc>
          <w:tcPr>
            <w:tcW w:w="3256" w:type="dxa"/>
            <w:tcBorders>
              <w:top w:val="dashed" w:sz="4" w:space="0" w:color="auto"/>
              <w:left w:val="dashed" w:sz="4" w:space="0" w:color="auto"/>
              <w:bottom w:val="dashed" w:sz="4" w:space="0" w:color="auto"/>
              <w:right w:val="dashed" w:sz="4" w:space="0" w:color="auto"/>
            </w:tcBorders>
          </w:tcPr>
          <w:p w14:paraId="4F679AD3" w14:textId="7F75EEE9" w:rsidR="00E42154" w:rsidRPr="00E01F5E" w:rsidRDefault="00AA61AF" w:rsidP="0092065E">
            <w:pPr>
              <w:rPr>
                <w:rFonts w:eastAsia="仿宋_GB2312"/>
                <w:sz w:val="32"/>
                <w:szCs w:val="32"/>
              </w:rPr>
            </w:pPr>
            <w:r>
              <w:rPr>
                <w:rFonts w:eastAsia="仿宋_GB2312"/>
                <w:noProof/>
                <w:sz w:val="32"/>
                <w:szCs w:val="32"/>
              </w:rPr>
              <w:lastRenderedPageBreak/>
              <w:drawing>
                <wp:inline distT="0" distB="0" distL="0" distR="0" wp14:anchorId="3DE77D33" wp14:editId="7FE7ECD7">
                  <wp:extent cx="2493645" cy="1865630"/>
                  <wp:effectExtent l="0" t="0" r="1905"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93645" cy="1865630"/>
                          </a:xfrm>
                          <a:prstGeom prst="rect">
                            <a:avLst/>
                          </a:prstGeom>
                          <a:noFill/>
                        </pic:spPr>
                      </pic:pic>
                    </a:graphicData>
                  </a:graphic>
                </wp:inline>
              </w:drawing>
            </w:r>
          </w:p>
        </w:tc>
        <w:tc>
          <w:tcPr>
            <w:tcW w:w="5046" w:type="dxa"/>
            <w:tcBorders>
              <w:top w:val="dashed" w:sz="4" w:space="0" w:color="auto"/>
              <w:left w:val="nil"/>
              <w:bottom w:val="dashed" w:sz="4" w:space="0" w:color="auto"/>
              <w:right w:val="dashed" w:sz="4" w:space="0" w:color="auto"/>
            </w:tcBorders>
          </w:tcPr>
          <w:p w14:paraId="54AB7C79" w14:textId="114CE926" w:rsidR="00E42154" w:rsidRPr="00E01F5E" w:rsidRDefault="00AA61AF" w:rsidP="0092065E">
            <w:pPr>
              <w:jc w:val="left"/>
              <w:rPr>
                <w:rFonts w:eastAsia="仿宋_GB2312"/>
                <w:sz w:val="32"/>
                <w:szCs w:val="32"/>
              </w:rPr>
            </w:pPr>
            <w:r>
              <w:rPr>
                <w:rFonts w:eastAsia="仿宋_GB2312"/>
                <w:noProof/>
                <w:sz w:val="32"/>
                <w:szCs w:val="32"/>
              </w:rPr>
              <w:drawing>
                <wp:inline distT="0" distB="0" distL="0" distR="0" wp14:anchorId="47EAB38D" wp14:editId="18550927">
                  <wp:extent cx="2529840" cy="1896110"/>
                  <wp:effectExtent l="0" t="0" r="381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9840" cy="1896110"/>
                          </a:xfrm>
                          <a:prstGeom prst="rect">
                            <a:avLst/>
                          </a:prstGeom>
                          <a:noFill/>
                        </pic:spPr>
                      </pic:pic>
                    </a:graphicData>
                  </a:graphic>
                </wp:inline>
              </w:drawing>
            </w:r>
          </w:p>
        </w:tc>
      </w:tr>
    </w:tbl>
    <w:p w14:paraId="7AA1F695" w14:textId="492EC8F4" w:rsidR="00B00ED3" w:rsidRDefault="00B00ED3" w:rsidP="00B00ED3">
      <w:pPr>
        <w:pStyle w:val="ab"/>
        <w:widowControl/>
        <w:spacing w:line="360" w:lineRule="atLeast"/>
        <w:ind w:firstLineChars="200" w:firstLine="560"/>
        <w:rPr>
          <w:rFonts w:ascii="仿宋_GB2312" w:eastAsia="仿宋_GB2312" w:hAnsi="仿宋" w:cs="仿宋"/>
          <w:color w:val="000000"/>
          <w:sz w:val="28"/>
          <w:szCs w:val="28"/>
        </w:rPr>
      </w:pPr>
    </w:p>
    <w:p w14:paraId="2F815000" w14:textId="24C0F25E"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E42154">
        <w:rPr>
          <w:rFonts w:ascii="仿宋_GB2312" w:eastAsia="仿宋_GB2312" w:hAnsi="仿宋" w:cs="仿宋" w:hint="eastAsia"/>
          <w:color w:val="000000"/>
          <w:sz w:val="28"/>
          <w:szCs w:val="28"/>
        </w:rPr>
        <w:t>【2</w:t>
      </w:r>
      <w:r w:rsidR="00E42154">
        <w:rPr>
          <w:rFonts w:ascii="仿宋_GB2312" w:eastAsia="仿宋_GB2312" w:hAnsi="仿宋" w:cs="仿宋"/>
          <w:color w:val="000000"/>
          <w:sz w:val="28"/>
          <w:szCs w:val="28"/>
        </w:rPr>
        <w:t>025</w:t>
      </w:r>
      <w:r w:rsidR="00E42154">
        <w:rPr>
          <w:rFonts w:ascii="仿宋_GB2312" w:eastAsia="仿宋_GB2312" w:hAnsi="仿宋" w:cs="仿宋" w:hint="eastAsia"/>
          <w:color w:val="000000"/>
          <w:sz w:val="28"/>
          <w:szCs w:val="28"/>
        </w:rPr>
        <w:t>】年【</w:t>
      </w:r>
      <w:r w:rsidR="00A00528">
        <w:rPr>
          <w:rFonts w:ascii="仿宋_GB2312" w:eastAsia="仿宋_GB2312" w:hAnsi="仿宋" w:cs="仿宋"/>
          <w:color w:val="000000"/>
          <w:sz w:val="28"/>
          <w:szCs w:val="28"/>
        </w:rPr>
        <w:t>9</w:t>
      </w:r>
      <w:r w:rsidR="00E42154">
        <w:rPr>
          <w:rFonts w:ascii="仿宋_GB2312" w:eastAsia="仿宋_GB2312" w:hAnsi="仿宋" w:cs="仿宋" w:hint="eastAsia"/>
          <w:color w:val="000000"/>
          <w:sz w:val="28"/>
          <w:szCs w:val="28"/>
        </w:rPr>
        <w:t>】月【</w:t>
      </w:r>
      <w:r w:rsidR="00A00528">
        <w:rPr>
          <w:rFonts w:ascii="仿宋_GB2312" w:eastAsia="仿宋_GB2312" w:hAnsi="仿宋" w:cs="仿宋"/>
          <w:color w:val="000000"/>
          <w:sz w:val="28"/>
          <w:szCs w:val="28"/>
        </w:rPr>
        <w:t>30</w:t>
      </w:r>
      <w:bookmarkStart w:id="5" w:name="_GoBack"/>
      <w:bookmarkEnd w:id="5"/>
      <w:r w:rsidR="00E42154">
        <w:rPr>
          <w:rFonts w:ascii="仿宋_GB2312" w:eastAsia="仿宋_GB2312" w:hAnsi="仿宋" w:cs="仿宋" w:hint="eastAsia"/>
          <w:color w:val="000000"/>
          <w:sz w:val="28"/>
          <w:szCs w:val="28"/>
        </w:rPr>
        <w:t>】日</w:t>
      </w:r>
      <w:r>
        <w:rPr>
          <w:rFonts w:ascii="仿宋_GB2312" w:eastAsia="仿宋_GB2312" w:hAnsi="仿宋" w:cs="仿宋" w:hint="eastAsia"/>
          <w:color w:val="000000"/>
          <w:sz w:val="28"/>
          <w:szCs w:val="28"/>
        </w:rPr>
        <w:t>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25162" w14:textId="77777777" w:rsidR="007C1A3B" w:rsidRDefault="007C1A3B" w:rsidP="00E928AE">
      <w:r>
        <w:separator/>
      </w:r>
    </w:p>
  </w:endnote>
  <w:endnote w:type="continuationSeparator" w:id="0">
    <w:p w14:paraId="3421D0D8" w14:textId="77777777" w:rsidR="007C1A3B" w:rsidRDefault="007C1A3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AD1644" w14:textId="77777777" w:rsidR="007C1A3B" w:rsidRDefault="007C1A3B" w:rsidP="00E928AE">
      <w:r>
        <w:separator/>
      </w:r>
    </w:p>
  </w:footnote>
  <w:footnote w:type="continuationSeparator" w:id="0">
    <w:p w14:paraId="0C847BC1" w14:textId="77777777" w:rsidR="007C1A3B" w:rsidRDefault="007C1A3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47A7B"/>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181A"/>
    <w:rsid w:val="00723D81"/>
    <w:rsid w:val="00733817"/>
    <w:rsid w:val="00734BE2"/>
    <w:rsid w:val="00760CAB"/>
    <w:rsid w:val="0076631B"/>
    <w:rsid w:val="007779E3"/>
    <w:rsid w:val="00783029"/>
    <w:rsid w:val="00783CB0"/>
    <w:rsid w:val="007960E8"/>
    <w:rsid w:val="007B3301"/>
    <w:rsid w:val="007B495D"/>
    <w:rsid w:val="007C1A3B"/>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00528"/>
    <w:rsid w:val="00A44DA2"/>
    <w:rsid w:val="00A63A59"/>
    <w:rsid w:val="00A9723B"/>
    <w:rsid w:val="00AA61AF"/>
    <w:rsid w:val="00AB2F4A"/>
    <w:rsid w:val="00AC3956"/>
    <w:rsid w:val="00AD17FC"/>
    <w:rsid w:val="00AE17B2"/>
    <w:rsid w:val="00AE1D98"/>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4215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C7FEB"/>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F6D5A-E6F4-4A17-B67A-02B97E040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3</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42</cp:revision>
  <cp:lastPrinted>2025-02-11T09:23:00Z</cp:lastPrinted>
  <dcterms:created xsi:type="dcterms:W3CDTF">2024-12-04T06:39:00Z</dcterms:created>
  <dcterms:modified xsi:type="dcterms:W3CDTF">2025-11-11T01:27:00Z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