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9C444D">
      <w:pPr>
        <w:widowControl/>
        <w:shd w:val="clear" w:color="auto" w:fill="FFFFFF"/>
        <w:spacing w:line="360" w:lineRule="auto"/>
        <w:ind w:firstLine="803" w:firstLineChars="200"/>
        <w:jc w:val="center"/>
        <w:rPr>
          <w:rFonts w:hint="eastAsia" w:ascii="仿宋" w:hAnsi="仿宋" w:eastAsia="仿宋"/>
          <w:b/>
          <w:bCs/>
          <w:kern w:val="0"/>
          <w:sz w:val="40"/>
          <w:szCs w:val="40"/>
          <w:shd w:val="clear" w:color="auto" w:fill="FFFFFF"/>
        </w:rPr>
      </w:pPr>
      <w:r>
        <w:rPr>
          <w:rFonts w:hint="eastAsia" w:ascii="仿宋" w:hAnsi="仿宋" w:eastAsia="仿宋"/>
          <w:b/>
          <w:bCs/>
          <w:kern w:val="0"/>
          <w:sz w:val="40"/>
          <w:szCs w:val="40"/>
          <w:shd w:val="clear" w:color="auto" w:fill="FFFFFF"/>
        </w:rPr>
        <w:t>广州花都区住宅土地50亩为抵押物的1户债权竞买公告</w:t>
      </w:r>
    </w:p>
    <w:p w14:paraId="40D018F5">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u w:val="single"/>
          <w:shd w:val="clear" w:color="auto" w:fill="FFFFFF"/>
          <w:lang w:bidi="ar"/>
        </w:rPr>
        <w:t>广州资产管理有限公司（以下简称“广州资产”或“转让方”）</w:t>
      </w:r>
      <w:r>
        <w:rPr>
          <w:rFonts w:hint="eastAsia" w:ascii="仿宋" w:hAnsi="仿宋" w:eastAsia="仿宋" w:cs="仿宋"/>
          <w:kern w:val="0"/>
          <w:sz w:val="28"/>
          <w:szCs w:val="28"/>
          <w:shd w:val="clear" w:color="auto" w:fill="FFFFFF"/>
          <w:lang w:bidi="ar"/>
        </w:rPr>
        <w:t>将于</w:t>
      </w:r>
      <w:r>
        <w:rPr>
          <w:rFonts w:ascii="仿宋" w:hAnsi="仿宋" w:eastAsia="仿宋" w:cs="仿宋"/>
          <w:kern w:val="0"/>
          <w:sz w:val="28"/>
          <w:szCs w:val="28"/>
          <w:highlight w:val="none"/>
          <w:u w:val="single"/>
          <w:shd w:val="clear" w:color="auto" w:fill="FFFFFF"/>
          <w:lang w:bidi="ar"/>
        </w:rPr>
        <w:t>202</w:t>
      </w:r>
      <w:r>
        <w:rPr>
          <w:rFonts w:hint="eastAsia" w:ascii="仿宋" w:hAnsi="仿宋" w:eastAsia="仿宋" w:cs="仿宋"/>
          <w:kern w:val="0"/>
          <w:sz w:val="28"/>
          <w:szCs w:val="28"/>
          <w:highlight w:val="none"/>
          <w:u w:val="single"/>
          <w:shd w:val="clear" w:color="auto" w:fill="FFFFFF"/>
          <w:lang w:val="en-US" w:eastAsia="zh-CN" w:bidi="ar"/>
        </w:rPr>
        <w:t>5</w:t>
      </w:r>
      <w:r>
        <w:rPr>
          <w:rFonts w:hint="eastAsia" w:ascii="仿宋" w:hAnsi="仿宋" w:eastAsia="仿宋" w:cs="仿宋"/>
          <w:kern w:val="0"/>
          <w:sz w:val="28"/>
          <w:szCs w:val="28"/>
          <w:highlight w:val="none"/>
          <w:shd w:val="clear" w:color="auto" w:fill="FFFFFF"/>
          <w:lang w:bidi="ar"/>
        </w:rPr>
        <w:t>年</w:t>
      </w:r>
      <w:r>
        <w:rPr>
          <w:rFonts w:hint="eastAsia" w:ascii="仿宋" w:hAnsi="仿宋" w:eastAsia="仿宋" w:cs="仿宋"/>
          <w:kern w:val="0"/>
          <w:sz w:val="28"/>
          <w:szCs w:val="28"/>
          <w:highlight w:val="none"/>
          <w:u w:val="single"/>
          <w:shd w:val="clear" w:color="auto" w:fill="FFFFFF"/>
          <w:lang w:val="en-US" w:eastAsia="zh-CN" w:bidi="ar"/>
        </w:rPr>
        <w:t>11月24日9</w:t>
      </w:r>
      <w:r>
        <w:rPr>
          <w:rFonts w:hint="eastAsia" w:ascii="仿宋" w:hAnsi="仿宋" w:eastAsia="仿宋" w:cs="仿宋"/>
          <w:kern w:val="0"/>
          <w:sz w:val="28"/>
          <w:szCs w:val="28"/>
          <w:highlight w:val="none"/>
          <w:shd w:val="clear" w:color="auto" w:fill="FFFFFF"/>
          <w:lang w:bidi="ar"/>
        </w:rPr>
        <w:t>时起至</w:t>
      </w:r>
      <w:r>
        <w:rPr>
          <w:rFonts w:ascii="仿宋" w:hAnsi="仿宋" w:eastAsia="仿宋" w:cs="仿宋"/>
          <w:kern w:val="0"/>
          <w:sz w:val="28"/>
          <w:szCs w:val="28"/>
          <w:highlight w:val="none"/>
          <w:u w:val="single"/>
          <w:shd w:val="clear" w:color="auto" w:fill="FFFFFF"/>
          <w:lang w:bidi="ar"/>
        </w:rPr>
        <w:t>202</w:t>
      </w:r>
      <w:r>
        <w:rPr>
          <w:rFonts w:hint="eastAsia" w:ascii="仿宋" w:hAnsi="仿宋" w:eastAsia="仿宋" w:cs="仿宋"/>
          <w:kern w:val="0"/>
          <w:sz w:val="28"/>
          <w:szCs w:val="28"/>
          <w:highlight w:val="none"/>
          <w:u w:val="single"/>
          <w:shd w:val="clear" w:color="auto" w:fill="FFFFFF"/>
          <w:lang w:val="en-US" w:eastAsia="zh-CN" w:bidi="ar"/>
        </w:rPr>
        <w:t>5</w:t>
      </w:r>
      <w:r>
        <w:rPr>
          <w:rFonts w:hint="eastAsia" w:ascii="仿宋" w:hAnsi="仿宋" w:eastAsia="仿宋" w:cs="仿宋"/>
          <w:kern w:val="0"/>
          <w:sz w:val="28"/>
          <w:szCs w:val="28"/>
          <w:highlight w:val="none"/>
          <w:shd w:val="clear" w:color="auto" w:fill="FFFFFF"/>
          <w:lang w:bidi="ar"/>
        </w:rPr>
        <w:t>年</w:t>
      </w:r>
      <w:r>
        <w:rPr>
          <w:rFonts w:hint="eastAsia" w:ascii="仿宋" w:hAnsi="仿宋" w:eastAsia="仿宋" w:cs="仿宋"/>
          <w:kern w:val="0"/>
          <w:sz w:val="28"/>
          <w:szCs w:val="28"/>
          <w:highlight w:val="none"/>
          <w:u w:val="single"/>
          <w:shd w:val="clear" w:color="auto" w:fill="FFFFFF"/>
          <w:lang w:val="en-US" w:eastAsia="zh-CN" w:bidi="ar"/>
        </w:rPr>
        <w:t>11月24日12</w:t>
      </w:r>
      <w:bookmarkStart w:id="0" w:name="_GoBack"/>
      <w:bookmarkEnd w:id="0"/>
      <w:r>
        <w:rPr>
          <w:rFonts w:hint="eastAsia" w:ascii="仿宋" w:hAnsi="仿宋" w:eastAsia="仿宋" w:cs="仿宋"/>
          <w:kern w:val="0"/>
          <w:sz w:val="28"/>
          <w:szCs w:val="28"/>
          <w:shd w:val="clear" w:color="auto" w:fill="FFFFFF"/>
          <w:lang w:bidi="ar"/>
        </w:rPr>
        <w:t>时止（如发生自动延时的，截止时间以延长后的结束时间为准）在【</w:t>
      </w:r>
      <w:r>
        <w:rPr>
          <w:rFonts w:hint="eastAsia" w:ascii="仿宋" w:hAnsi="仿宋" w:eastAsia="仿宋" w:cs="仿宋"/>
          <w:kern w:val="0"/>
          <w:sz w:val="28"/>
          <w:szCs w:val="28"/>
          <w:highlight w:val="none"/>
          <w:shd w:val="clear" w:color="auto" w:fill="FFFFFF"/>
          <w:lang w:bidi="ar"/>
        </w:rPr>
        <w:t>阿里拍卖</w:t>
      </w:r>
      <w:r>
        <w:rPr>
          <w:rFonts w:hint="eastAsia" w:ascii="仿宋" w:hAnsi="仿宋" w:eastAsia="仿宋" w:cs="仿宋"/>
          <w:kern w:val="0"/>
          <w:sz w:val="28"/>
          <w:szCs w:val="28"/>
          <w:shd w:val="clear" w:color="auto" w:fill="FFFFFF"/>
          <w:lang w:bidi="ar"/>
        </w:rPr>
        <w:t>】网络平台（网址：【</w:t>
      </w:r>
      <w:r>
        <w:rPr>
          <w:rFonts w:hint="eastAsia" w:ascii="仿宋" w:hAnsi="仿宋" w:eastAsia="仿宋"/>
          <w:kern w:val="0"/>
          <w:sz w:val="28"/>
          <w:szCs w:val="28"/>
          <w:highlight w:val="none"/>
          <w:shd w:val="clear" w:color="auto" w:fill="FFFFFF"/>
        </w:rPr>
        <w:t>https://zc-paimai.taobao.com/</w:t>
      </w:r>
      <w:r>
        <w:rPr>
          <w:rFonts w:hint="eastAsia" w:ascii="仿宋" w:hAnsi="仿宋" w:eastAsia="仿宋" w:cs="仿宋"/>
          <w:kern w:val="0"/>
          <w:sz w:val="28"/>
          <w:szCs w:val="28"/>
          <w:shd w:val="clear" w:color="auto" w:fill="FFFFFF"/>
          <w:lang w:bidi="ar"/>
        </w:rPr>
        <w:t>】，以下简称“拍卖平台”）开展对</w:t>
      </w:r>
      <w:r>
        <w:rPr>
          <w:rFonts w:hint="eastAsia" w:ascii="仿宋" w:hAnsi="仿宋" w:eastAsia="仿宋" w:cs="仿宋"/>
          <w:kern w:val="0"/>
          <w:sz w:val="28"/>
          <w:szCs w:val="28"/>
          <w:u w:val="single"/>
          <w:shd w:val="clear" w:color="auto" w:fill="FFFFFF"/>
          <w:lang w:bidi="ar"/>
        </w:rPr>
        <w:t>【</w:t>
      </w:r>
      <w:r>
        <w:rPr>
          <w:rFonts w:hint="eastAsia" w:ascii="仿宋" w:hAnsi="仿宋" w:eastAsia="仿宋"/>
          <w:kern w:val="0"/>
          <w:sz w:val="28"/>
          <w:szCs w:val="28"/>
          <w:highlight w:val="none"/>
          <w:u w:val="single"/>
          <w:shd w:val="clear" w:color="auto" w:fill="FFFFFF"/>
          <w:lang w:eastAsia="zh-CN"/>
        </w:rPr>
        <w:t>广东元邦房地产开发有限公司单户不良债权</w:t>
      </w:r>
      <w:r>
        <w:rPr>
          <w:rFonts w:hint="eastAsia" w:ascii="仿宋" w:hAnsi="仿宋" w:eastAsia="仿宋" w:cs="仿宋"/>
          <w:kern w:val="0"/>
          <w:sz w:val="28"/>
          <w:szCs w:val="28"/>
          <w:u w:val="single"/>
          <w:shd w:val="clear" w:color="auto" w:fill="FFFFFF"/>
          <w:lang w:bidi="ar"/>
        </w:rPr>
        <w:t>】不良债权资产（以下简称“标的资产”）</w:t>
      </w:r>
      <w:r>
        <w:rPr>
          <w:rFonts w:hint="eastAsia" w:ascii="仿宋" w:hAnsi="仿宋" w:eastAsia="仿宋" w:cs="仿宋"/>
          <w:kern w:val="0"/>
          <w:sz w:val="28"/>
          <w:szCs w:val="28"/>
          <w:shd w:val="clear" w:color="auto" w:fill="FFFFFF"/>
          <w:lang w:bidi="ar"/>
        </w:rPr>
        <w:t>的公开竞价活动，现公告如下：</w:t>
      </w:r>
    </w:p>
    <w:p w14:paraId="7BF5BCF8">
      <w:pPr>
        <w:widowControl/>
        <w:shd w:val="clear" w:color="auto" w:fill="FFFFFF"/>
        <w:spacing w:line="360" w:lineRule="auto"/>
        <w:ind w:firstLine="643" w:firstLineChars="200"/>
        <w:jc w:val="left"/>
        <w:outlineLvl w:val="1"/>
        <w:rPr>
          <w:rFonts w:ascii="仿宋" w:hAnsi="仿宋" w:eastAsia="仿宋" w:cs="仿宋"/>
          <w:b/>
          <w:bCs/>
          <w:kern w:val="0"/>
          <w:sz w:val="32"/>
          <w:szCs w:val="32"/>
          <w:shd w:val="clear" w:color="auto" w:fill="FFFFFF"/>
          <w:lang w:bidi="ar"/>
        </w:rPr>
      </w:pPr>
      <w:r>
        <w:rPr>
          <w:rFonts w:hint="eastAsia" w:ascii="仿宋" w:hAnsi="仿宋" w:eastAsia="仿宋" w:cs="仿宋"/>
          <w:b/>
          <w:bCs/>
          <w:kern w:val="0"/>
          <w:sz w:val="32"/>
          <w:szCs w:val="32"/>
          <w:shd w:val="clear" w:color="auto" w:fill="FFFFFF"/>
          <w:lang w:bidi="ar"/>
        </w:rPr>
        <w:t>一、竞买事项</w:t>
      </w:r>
    </w:p>
    <w:p w14:paraId="285A4C6F">
      <w:pPr>
        <w:widowControl/>
        <w:shd w:val="clear" w:color="auto" w:fill="FFFFFF"/>
        <w:spacing w:line="360" w:lineRule="auto"/>
        <w:ind w:firstLine="562" w:firstLineChars="200"/>
        <w:jc w:val="left"/>
        <w:outlineLvl w:val="2"/>
        <w:rPr>
          <w:rFonts w:ascii="仿宋" w:hAnsi="仿宋" w:eastAsia="仿宋" w:cs="仿宋"/>
          <w:b/>
          <w:bCs/>
          <w:kern w:val="0"/>
          <w:sz w:val="32"/>
          <w:szCs w:val="32"/>
          <w:shd w:val="clear" w:color="auto" w:fill="FFFFFF"/>
          <w:lang w:bidi="ar"/>
        </w:rPr>
      </w:pPr>
      <w:r>
        <w:rPr>
          <w:rFonts w:hint="eastAsia" w:ascii="仿宋" w:hAnsi="仿宋" w:eastAsia="仿宋" w:cs="仿宋"/>
          <w:b/>
          <w:bCs/>
          <w:kern w:val="0"/>
          <w:sz w:val="28"/>
          <w:szCs w:val="28"/>
          <w:shd w:val="clear" w:color="auto" w:fill="FFFFFF"/>
          <w:lang w:bidi="ar"/>
        </w:rPr>
        <w:t>（一）竞价标的资产事项</w:t>
      </w:r>
    </w:p>
    <w:p w14:paraId="4E1795B5">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资产信息：【</w:t>
      </w:r>
      <w:r>
        <w:rPr>
          <w:rFonts w:hint="eastAsia" w:ascii="仿宋" w:hAnsi="仿宋" w:eastAsia="仿宋"/>
          <w:kern w:val="0"/>
          <w:sz w:val="28"/>
          <w:szCs w:val="28"/>
          <w:highlight w:val="none"/>
          <w:u w:val="single"/>
          <w:shd w:val="clear" w:color="auto" w:fill="FFFFFF"/>
          <w:lang w:eastAsia="zh-CN"/>
        </w:rPr>
        <w:t>广东元邦房地产开发有限公司单户不良债权</w:t>
      </w:r>
      <w:r>
        <w:rPr>
          <w:rFonts w:hint="eastAsia" w:ascii="仿宋" w:hAnsi="仿宋" w:eastAsia="仿宋" w:cs="仿宋"/>
          <w:kern w:val="0"/>
          <w:sz w:val="28"/>
          <w:szCs w:val="28"/>
          <w:shd w:val="clear" w:color="auto" w:fill="FFFFFF"/>
          <w:lang w:bidi="ar"/>
        </w:rPr>
        <w:t>】不良资产，</w:t>
      </w:r>
      <w:r>
        <w:rPr>
          <w:rFonts w:hint="eastAsia" w:ascii="仿宋" w:hAnsi="仿宋" w:eastAsia="仿宋"/>
          <w:kern w:val="0"/>
          <w:sz w:val="28"/>
          <w:szCs w:val="28"/>
          <w:shd w:val="clear" w:color="auto" w:fill="FFFFFF"/>
        </w:rPr>
        <w:t>截至基准日2025年7月31日，标的资产债权规模合计</w:t>
      </w:r>
      <w:r>
        <w:rPr>
          <w:rFonts w:hint="eastAsia" w:ascii="仿宋" w:hAnsi="仿宋" w:eastAsia="仿宋" w:cs="仿宋"/>
          <w:kern w:val="0"/>
          <w:sz w:val="28"/>
          <w:szCs w:val="28"/>
          <w:shd w:val="clear" w:color="auto" w:fill="FFFFFF"/>
          <w:lang w:bidi="ar"/>
        </w:rPr>
        <w:t>【</w:t>
      </w:r>
      <w:r>
        <w:rPr>
          <w:rFonts w:hint="eastAsia" w:ascii="仿宋" w:hAnsi="仿宋" w:eastAsia="仿宋"/>
          <w:kern w:val="0"/>
          <w:sz w:val="28"/>
          <w:szCs w:val="28"/>
          <w:shd w:val="clear" w:color="auto" w:fill="FFFFFF"/>
        </w:rPr>
        <w:t>32,699.58</w:t>
      </w:r>
      <w:r>
        <w:rPr>
          <w:rFonts w:hint="eastAsia" w:ascii="仿宋" w:hAnsi="仿宋" w:eastAsia="仿宋" w:cs="仿宋"/>
          <w:kern w:val="0"/>
          <w:sz w:val="28"/>
          <w:szCs w:val="28"/>
          <w:shd w:val="clear" w:color="auto" w:fill="FFFFFF"/>
          <w:lang w:bidi="ar"/>
        </w:rPr>
        <w:t>】万元</w:t>
      </w:r>
      <w:r>
        <w:rPr>
          <w:rFonts w:hint="eastAsia" w:ascii="仿宋" w:hAnsi="仿宋" w:eastAsia="仿宋"/>
          <w:kern w:val="0"/>
          <w:sz w:val="28"/>
          <w:szCs w:val="28"/>
          <w:shd w:val="clear" w:color="auto" w:fill="FFFFFF"/>
          <w:lang w:val="en-US" w:eastAsia="zh-CN"/>
        </w:rPr>
        <w:t>(包括重组补偿金、违约金以及罚息，其中重组补偿金自2023年9月21日，年利率按24%计算；违约金以未付金额为基数按每日万分之五计算；本金罚息自逾期之日起按每日万分之五计算)</w:t>
      </w:r>
      <w:r>
        <w:rPr>
          <w:rFonts w:hint="eastAsia" w:ascii="仿宋" w:hAnsi="仿宋" w:eastAsia="仿宋" w:cs="仿宋"/>
          <w:kern w:val="0"/>
          <w:sz w:val="28"/>
          <w:szCs w:val="28"/>
          <w:shd w:val="clear" w:color="auto" w:fill="FFFFFF"/>
          <w:lang w:bidi="ar"/>
        </w:rPr>
        <w:t>，其中本金余额【</w:t>
      </w:r>
      <w:r>
        <w:rPr>
          <w:rFonts w:hint="eastAsia" w:ascii="仿宋" w:hAnsi="仿宋" w:eastAsia="仿宋"/>
          <w:kern w:val="0"/>
          <w:sz w:val="28"/>
          <w:szCs w:val="28"/>
          <w:shd w:val="clear" w:color="auto" w:fill="FFFFFF"/>
        </w:rPr>
        <w:t>1</w:t>
      </w:r>
      <w:r>
        <w:rPr>
          <w:rFonts w:hint="eastAsia" w:ascii="仿宋" w:hAnsi="仿宋" w:eastAsia="仿宋"/>
          <w:kern w:val="0"/>
          <w:sz w:val="28"/>
          <w:szCs w:val="28"/>
          <w:shd w:val="clear" w:color="auto" w:fill="FFFFFF"/>
          <w:lang w:val="en-US" w:eastAsia="zh-CN"/>
        </w:rPr>
        <w:t>8</w:t>
      </w:r>
      <w:r>
        <w:rPr>
          <w:rFonts w:hint="eastAsia" w:ascii="仿宋" w:hAnsi="仿宋" w:eastAsia="仿宋"/>
          <w:kern w:val="0"/>
          <w:sz w:val="28"/>
          <w:szCs w:val="28"/>
          <w:shd w:val="clear" w:color="auto" w:fill="FFFFFF"/>
        </w:rPr>
        <w:t>,</w:t>
      </w:r>
      <w:r>
        <w:rPr>
          <w:rFonts w:hint="eastAsia" w:ascii="仿宋" w:hAnsi="仿宋" w:eastAsia="仿宋"/>
          <w:kern w:val="0"/>
          <w:sz w:val="28"/>
          <w:szCs w:val="28"/>
          <w:shd w:val="clear" w:color="auto" w:fill="FFFFFF"/>
          <w:lang w:val="en-US" w:eastAsia="zh-CN"/>
        </w:rPr>
        <w:t>2</w:t>
      </w:r>
      <w:r>
        <w:rPr>
          <w:rFonts w:hint="eastAsia" w:ascii="仿宋" w:hAnsi="仿宋" w:eastAsia="仿宋"/>
          <w:kern w:val="0"/>
          <w:sz w:val="28"/>
          <w:szCs w:val="28"/>
          <w:shd w:val="clear" w:color="auto" w:fill="FFFFFF"/>
        </w:rPr>
        <w:t>00</w:t>
      </w:r>
      <w:r>
        <w:rPr>
          <w:rFonts w:hint="eastAsia" w:ascii="仿宋" w:hAnsi="仿宋" w:eastAsia="仿宋" w:cs="仿宋"/>
          <w:kern w:val="0"/>
          <w:sz w:val="28"/>
          <w:szCs w:val="28"/>
          <w:shd w:val="clear" w:color="auto" w:fill="FFFFFF"/>
          <w:lang w:bidi="ar"/>
        </w:rPr>
        <w:t>】万元</w:t>
      </w:r>
      <w:r>
        <w:rPr>
          <w:rFonts w:hint="eastAsia" w:ascii="仿宋" w:hAnsi="仿宋" w:eastAsia="仿宋"/>
          <w:kern w:val="0"/>
          <w:sz w:val="28"/>
          <w:szCs w:val="28"/>
          <w:shd w:val="clear" w:color="auto" w:fill="FFFFFF"/>
        </w:rPr>
        <w:t>，利息等具体以实际计算为准</w:t>
      </w:r>
      <w:r>
        <w:rPr>
          <w:rFonts w:hint="eastAsia" w:ascii="仿宋" w:hAnsi="仿宋" w:eastAsia="仿宋" w:cs="仿宋"/>
          <w:kern w:val="0"/>
          <w:sz w:val="28"/>
          <w:szCs w:val="28"/>
          <w:shd w:val="clear" w:color="auto" w:fill="FFFFFF"/>
          <w:lang w:bidi="ar"/>
        </w:rPr>
        <w:t>。</w:t>
      </w:r>
    </w:p>
    <w:p w14:paraId="1CAE7E06">
      <w:pPr>
        <w:widowControl/>
        <w:shd w:val="clear" w:color="auto" w:fill="FFFFFF"/>
        <w:spacing w:line="360" w:lineRule="auto"/>
        <w:ind w:firstLine="562" w:firstLineChars="200"/>
        <w:jc w:val="left"/>
        <w:rPr>
          <w:rFonts w:ascii="仿宋" w:hAnsi="仿宋" w:eastAsia="仿宋" w:cs="仿宋"/>
          <w:b/>
          <w:kern w:val="0"/>
          <w:sz w:val="28"/>
          <w:szCs w:val="28"/>
          <w:shd w:val="clear" w:color="auto" w:fill="FFFFFF"/>
          <w:lang w:bidi="ar"/>
        </w:rPr>
      </w:pPr>
      <w:r>
        <w:rPr>
          <w:rFonts w:hint="eastAsia" w:ascii="仿宋" w:hAnsi="仿宋" w:eastAsia="仿宋" w:cs="仿宋"/>
          <w:b/>
          <w:kern w:val="0"/>
          <w:sz w:val="28"/>
          <w:szCs w:val="28"/>
          <w:shd w:val="clear" w:color="auto" w:fill="FFFFFF"/>
          <w:lang w:bidi="ar"/>
        </w:rPr>
        <w:t>主要抵押物信息：</w:t>
      </w:r>
    </w:p>
    <w:p w14:paraId="7E699F43">
      <w:pPr>
        <w:pStyle w:val="10"/>
        <w:widowControl/>
        <w:spacing w:beforeAutospacing="0" w:afterAutospacing="0" w:line="360" w:lineRule="atLeast"/>
        <w:ind w:firstLine="562" w:firstLineChars="200"/>
        <w:jc w:val="both"/>
        <w:rPr>
          <w:rFonts w:hint="eastAsia" w:ascii="Times New Roman" w:hAnsi="Times New Roman" w:eastAsia="仿宋_GB2312" w:cs="仿宋_GB2312"/>
          <w:sz w:val="28"/>
          <w:szCs w:val="28"/>
          <w:highlight w:val="none"/>
          <w:lang w:val="en-US" w:eastAsia="zh-CN"/>
        </w:rPr>
      </w:pPr>
      <w:r>
        <w:rPr>
          <w:rFonts w:hint="eastAsia" w:ascii="Times New Roman" w:hAnsi="Times New Roman" w:eastAsia="仿宋_GB2312" w:cs="仿宋_GB2312"/>
          <w:b/>
          <w:bCs/>
          <w:sz w:val="28"/>
          <w:szCs w:val="28"/>
          <w:highlight w:val="none"/>
          <w:lang w:val="en-US" w:eastAsia="zh-CN"/>
        </w:rPr>
        <w:t>1.债权项下第一顺位抵押物</w:t>
      </w:r>
    </w:p>
    <w:p w14:paraId="11B40455">
      <w:pPr>
        <w:pStyle w:val="10"/>
        <w:widowControl/>
        <w:spacing w:beforeAutospacing="0" w:afterAutospacing="0" w:line="360" w:lineRule="atLeast"/>
        <w:ind w:firstLine="560" w:firstLineChars="200"/>
        <w:jc w:val="both"/>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lang w:val="en-US" w:eastAsia="zh-CN"/>
        </w:rPr>
        <w:t>（1）</w:t>
      </w:r>
      <w:r>
        <w:rPr>
          <w:rFonts w:hint="eastAsia" w:ascii="Times New Roman" w:hAnsi="Times New Roman" w:eastAsia="仿宋_GB2312" w:cs="仿宋_GB2312"/>
          <w:color w:val="000000"/>
          <w:sz w:val="28"/>
          <w:szCs w:val="28"/>
          <w:highlight w:val="none"/>
        </w:rPr>
        <w:t>位于广州市花都区芙蓉镇新杨村的住宅用地，面积为32,920.86㎡</w:t>
      </w:r>
      <w:r>
        <w:rPr>
          <w:rFonts w:hint="eastAsia" w:ascii="Times New Roman" w:hAnsi="Times New Roman" w:eastAsia="仿宋_GB2312" w:cs="仿宋_GB2312"/>
          <w:color w:val="000000"/>
          <w:sz w:val="28"/>
          <w:szCs w:val="28"/>
          <w:highlight w:val="none"/>
          <w:lang w:eastAsia="zh-CN"/>
        </w:rPr>
        <w:t>。</w:t>
      </w:r>
      <w:r>
        <w:rPr>
          <w:rFonts w:hint="eastAsia" w:ascii="Times New Roman" w:hAnsi="Times New Roman" w:eastAsia="仿宋_GB2312" w:cs="仿宋_GB2312"/>
          <w:color w:val="000000"/>
          <w:sz w:val="28"/>
          <w:szCs w:val="28"/>
          <w:highlight w:val="none"/>
          <w:lang w:val="en-US" w:eastAsia="zh-CN"/>
        </w:rPr>
        <w:t>地块</w:t>
      </w:r>
      <w:r>
        <w:rPr>
          <w:rFonts w:hint="eastAsia" w:ascii="Times New Roman" w:hAnsi="Times New Roman" w:eastAsia="仿宋_GB2312" w:cs="仿宋_GB2312"/>
          <w:color w:val="000000"/>
          <w:sz w:val="28"/>
          <w:szCs w:val="28"/>
          <w:highlight w:val="none"/>
        </w:rPr>
        <w:t>距离G94珠三角环线高速“芙蓉站”或G0421许广高速“海布站”高速路口均约10分钟车程，距离广州北站12公里，距离花都区市中心约10公里。抵押物土地大部分已平整，地块范围内有一幢4层楼高办公楼，一幢4层楼高宿舍，4个钢结构一层简易厂房和</w:t>
      </w:r>
      <w:r>
        <w:rPr>
          <w:rFonts w:hint="eastAsia" w:ascii="Times New Roman" w:hAnsi="Times New Roman" w:eastAsia="仿宋_GB2312" w:cs="仿宋_GB2312"/>
          <w:color w:val="000000"/>
          <w:sz w:val="28"/>
          <w:szCs w:val="28"/>
          <w:highlight w:val="none"/>
          <w:lang w:val="en-US" w:eastAsia="zh-CN"/>
        </w:rPr>
        <w:t>部分</w:t>
      </w:r>
      <w:r>
        <w:rPr>
          <w:rFonts w:hint="eastAsia" w:ascii="Times New Roman" w:hAnsi="Times New Roman" w:eastAsia="仿宋_GB2312" w:cs="仿宋_GB2312"/>
          <w:color w:val="000000"/>
          <w:sz w:val="28"/>
          <w:szCs w:val="28"/>
          <w:highlight w:val="none"/>
        </w:rPr>
        <w:t>空地。</w:t>
      </w:r>
    </w:p>
    <w:p w14:paraId="4EA58F6A">
      <w:pPr>
        <w:pStyle w:val="10"/>
        <w:widowControl/>
        <w:spacing w:beforeAutospacing="0" w:afterAutospacing="0" w:line="360" w:lineRule="atLeast"/>
        <w:ind w:firstLine="560" w:firstLineChars="200"/>
        <w:jc w:val="both"/>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抵押物5公里范围住宅小区包括有班芙小镇、时代紫林、元邦山清水秀、远洋芙蓉墅、南航碧花园、新鸿基御花华园等住宅楼盘，相关生活配套有新民小学、新扬小学、芙蓉中学、秀全中学、广州工商学院、狮岭皮革城、狮城国际、广州融创文旅城、比奇（广州）军事主题园等。</w:t>
      </w:r>
    </w:p>
    <w:p w14:paraId="688C7731">
      <w:pPr>
        <w:pStyle w:val="10"/>
        <w:widowControl/>
        <w:spacing w:beforeAutospacing="0" w:afterAutospacing="0" w:line="360" w:lineRule="atLeast"/>
        <w:ind w:firstLine="560" w:firstLineChars="200"/>
        <w:jc w:val="both"/>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抵押物地理位置优越，属洪秀全水库范围，环境较好，交通便捷，生活配套完善，周边5公里范围内小区众多，未来开发潜力较大。</w:t>
      </w:r>
    </w:p>
    <w:p w14:paraId="619F000F">
      <w:pPr>
        <w:pStyle w:val="10"/>
        <w:widowControl/>
        <w:spacing w:beforeAutospacing="0" w:afterAutospacing="0" w:line="360" w:lineRule="atLeast"/>
        <w:ind w:firstLine="560" w:firstLineChars="200"/>
        <w:jc w:val="both"/>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lang w:eastAsia="zh-CN"/>
        </w:rPr>
        <w:t>（</w:t>
      </w:r>
      <w:r>
        <w:rPr>
          <w:rFonts w:hint="eastAsia" w:ascii="Times New Roman" w:hAnsi="Times New Roman" w:eastAsia="仿宋_GB2312" w:cs="仿宋_GB2312"/>
          <w:color w:val="000000"/>
          <w:sz w:val="28"/>
          <w:szCs w:val="28"/>
          <w:highlight w:val="none"/>
          <w:lang w:val="en-US" w:eastAsia="zh-CN"/>
        </w:rPr>
        <w:t>2）</w:t>
      </w:r>
      <w:r>
        <w:rPr>
          <w:rFonts w:hint="eastAsia" w:ascii="Times New Roman" w:hAnsi="Times New Roman" w:eastAsia="仿宋_GB2312" w:cs="仿宋_GB2312"/>
          <w:color w:val="000000"/>
          <w:sz w:val="28"/>
          <w:szCs w:val="28"/>
          <w:highlight w:val="none"/>
        </w:rPr>
        <w:t>位于广州花都区元邦山清水秀项目地下车位10个</w:t>
      </w:r>
      <w:r>
        <w:rPr>
          <w:rFonts w:hint="eastAsia" w:ascii="Times New Roman" w:hAnsi="Times New Roman" w:eastAsia="仿宋_GB2312" w:cs="仿宋_GB2312"/>
          <w:color w:val="000000"/>
          <w:sz w:val="28"/>
          <w:szCs w:val="28"/>
          <w:highlight w:val="none"/>
          <w:lang w:eastAsia="zh-CN"/>
        </w:rPr>
        <w:t>。</w:t>
      </w:r>
      <w:r>
        <w:rPr>
          <w:rFonts w:hint="eastAsia" w:ascii="Times New Roman" w:hAnsi="Times New Roman" w:eastAsia="仿宋_GB2312" w:cs="仿宋_GB2312"/>
          <w:color w:val="000000"/>
          <w:sz w:val="28"/>
          <w:szCs w:val="28"/>
          <w:highlight w:val="none"/>
        </w:rPr>
        <w:t xml:space="preserve">        </w:t>
      </w:r>
    </w:p>
    <w:p w14:paraId="23AE87E3">
      <w:pPr>
        <w:pStyle w:val="10"/>
        <w:widowControl/>
        <w:spacing w:beforeAutospacing="0" w:afterAutospacing="0" w:line="360" w:lineRule="atLeast"/>
        <w:ind w:firstLine="562" w:firstLineChars="200"/>
        <w:jc w:val="both"/>
        <w:rPr>
          <w:rFonts w:hint="eastAsia" w:ascii="Times New Roman" w:hAnsi="Times New Roman" w:eastAsia="仿宋_GB2312" w:cs="仿宋_GB2312"/>
          <w:b/>
          <w:bCs/>
          <w:color w:val="000000"/>
          <w:sz w:val="28"/>
          <w:szCs w:val="28"/>
          <w:highlight w:val="none"/>
        </w:rPr>
      </w:pPr>
      <w:r>
        <w:rPr>
          <w:rFonts w:hint="eastAsia" w:ascii="Times New Roman" w:hAnsi="Times New Roman" w:eastAsia="仿宋_GB2312" w:cs="仿宋_GB2312"/>
          <w:b/>
          <w:bCs/>
          <w:color w:val="000000"/>
          <w:sz w:val="28"/>
          <w:szCs w:val="28"/>
          <w:highlight w:val="none"/>
          <w:lang w:val="en-US" w:eastAsia="zh-CN"/>
        </w:rPr>
        <w:t>2.债权项下</w:t>
      </w:r>
      <w:r>
        <w:rPr>
          <w:rFonts w:hint="eastAsia" w:ascii="Times New Roman" w:hAnsi="Times New Roman" w:eastAsia="仿宋_GB2312" w:cs="仿宋_GB2312"/>
          <w:b/>
          <w:bCs/>
          <w:color w:val="000000"/>
          <w:sz w:val="28"/>
          <w:szCs w:val="28"/>
          <w:highlight w:val="none"/>
        </w:rPr>
        <w:t>第二顺位抵押物</w:t>
      </w:r>
    </w:p>
    <w:p w14:paraId="3FBE97D8">
      <w:pPr>
        <w:pStyle w:val="10"/>
        <w:widowControl/>
        <w:numPr>
          <w:ilvl w:val="0"/>
          <w:numId w:val="0"/>
        </w:numPr>
        <w:spacing w:beforeAutospacing="0" w:afterAutospacing="0" w:line="360" w:lineRule="atLeast"/>
        <w:ind w:firstLine="420" w:firstLineChars="0"/>
        <w:jc w:val="both"/>
        <w:rPr>
          <w:rFonts w:hint="eastAsia" w:ascii="Times New Roman" w:hAnsi="Times New Roman" w:eastAsia="仿宋_GB2312" w:cs="仿宋_GB2312"/>
          <w:color w:val="000000"/>
          <w:sz w:val="28"/>
          <w:szCs w:val="28"/>
          <w:highlight w:val="none"/>
          <w:lang w:eastAsia="zh-CN"/>
        </w:rPr>
      </w:pPr>
      <w:r>
        <w:rPr>
          <w:rFonts w:hint="eastAsia" w:ascii="Times New Roman" w:hAnsi="Times New Roman" w:eastAsia="仿宋_GB2312" w:cs="仿宋_GB2312"/>
          <w:color w:val="000000"/>
          <w:sz w:val="28"/>
          <w:szCs w:val="28"/>
          <w:highlight w:val="none"/>
          <w:lang w:val="en-US" w:eastAsia="zh-CN"/>
        </w:rPr>
        <w:t>（1）</w:t>
      </w:r>
      <w:r>
        <w:rPr>
          <w:rFonts w:hint="eastAsia" w:ascii="Times New Roman" w:hAnsi="Times New Roman" w:eastAsia="仿宋_GB2312" w:cs="仿宋_GB2312"/>
          <w:color w:val="000000"/>
          <w:sz w:val="28"/>
          <w:szCs w:val="28"/>
          <w:highlight w:val="none"/>
        </w:rPr>
        <w:t>位于广州白云区黄石西路599号</w:t>
      </w:r>
      <w:r>
        <w:rPr>
          <w:rFonts w:hint="eastAsia" w:ascii="Times New Roman" w:hAnsi="Times New Roman" w:eastAsia="仿宋_GB2312" w:cs="仿宋_GB2312"/>
          <w:color w:val="000000"/>
          <w:sz w:val="28"/>
          <w:szCs w:val="28"/>
          <w:highlight w:val="none"/>
          <w:lang w:val="en-US" w:eastAsia="zh-CN"/>
        </w:rPr>
        <w:t>的</w:t>
      </w:r>
      <w:r>
        <w:rPr>
          <w:rFonts w:hint="eastAsia" w:ascii="Times New Roman" w:hAnsi="Times New Roman" w:eastAsia="仿宋_GB2312" w:cs="仿宋_GB2312"/>
          <w:color w:val="000000"/>
          <w:sz w:val="28"/>
          <w:szCs w:val="28"/>
          <w:highlight w:val="none"/>
        </w:rPr>
        <w:t>元邦大厦写字楼2-8层，面积合计5</w:t>
      </w:r>
      <w:r>
        <w:rPr>
          <w:rFonts w:hint="eastAsia" w:ascii="Times New Roman" w:hAnsi="Times New Roman" w:eastAsia="仿宋_GB2312" w:cs="仿宋_GB2312"/>
          <w:color w:val="000000"/>
          <w:sz w:val="28"/>
          <w:szCs w:val="28"/>
          <w:highlight w:val="none"/>
          <w:lang w:val="en-US"/>
        </w:rPr>
        <w:t>,</w:t>
      </w:r>
      <w:r>
        <w:rPr>
          <w:rFonts w:hint="eastAsia" w:ascii="Times New Roman" w:hAnsi="Times New Roman" w:eastAsia="仿宋_GB2312" w:cs="仿宋_GB2312"/>
          <w:color w:val="000000"/>
          <w:sz w:val="28"/>
          <w:szCs w:val="28"/>
          <w:highlight w:val="none"/>
        </w:rPr>
        <w:t>361.08㎡</w:t>
      </w:r>
      <w:r>
        <w:rPr>
          <w:rFonts w:hint="eastAsia" w:ascii="Times New Roman" w:hAnsi="Times New Roman" w:eastAsia="仿宋_GB2312" w:cs="仿宋_GB2312"/>
          <w:color w:val="000000"/>
          <w:sz w:val="28"/>
          <w:szCs w:val="28"/>
          <w:highlight w:val="none"/>
          <w:lang w:eastAsia="zh-CN"/>
        </w:rPr>
        <w:t>，</w:t>
      </w:r>
      <w:r>
        <w:rPr>
          <w:rFonts w:hint="eastAsia" w:ascii="Times New Roman" w:hAnsi="Times New Roman" w:eastAsia="仿宋_GB2312" w:cs="仿宋_GB2312"/>
          <w:color w:val="000000"/>
          <w:sz w:val="28"/>
          <w:szCs w:val="28"/>
          <w:highlight w:val="none"/>
        </w:rPr>
        <w:t>目前2-8层已出租作为怡呈酒店运营</w:t>
      </w:r>
      <w:r>
        <w:rPr>
          <w:rFonts w:hint="eastAsia" w:ascii="Times New Roman" w:hAnsi="Times New Roman" w:eastAsia="仿宋_GB2312" w:cs="仿宋_GB2312"/>
          <w:color w:val="000000"/>
          <w:sz w:val="28"/>
          <w:szCs w:val="28"/>
          <w:highlight w:val="none"/>
          <w:lang w:eastAsia="zh-CN"/>
        </w:rPr>
        <w:t>。</w:t>
      </w:r>
    </w:p>
    <w:p w14:paraId="767A0CA5">
      <w:pPr>
        <w:pStyle w:val="10"/>
        <w:widowControl/>
        <w:numPr>
          <w:ilvl w:val="0"/>
          <w:numId w:val="0"/>
        </w:numPr>
        <w:spacing w:beforeAutospacing="0" w:afterAutospacing="0" w:line="360" w:lineRule="atLeast"/>
        <w:ind w:firstLine="420" w:firstLineChars="0"/>
        <w:jc w:val="both"/>
        <w:rPr>
          <w:rFonts w:hint="eastAsia" w:ascii="Times New Roman" w:hAnsi="Times New Roman" w:eastAsia="仿宋_GB2312" w:cs="仿宋_GB2312"/>
          <w:color w:val="000000"/>
          <w:sz w:val="28"/>
          <w:szCs w:val="28"/>
          <w:highlight w:val="none"/>
          <w:lang w:eastAsia="zh-CN"/>
        </w:rPr>
      </w:pPr>
      <w:r>
        <w:rPr>
          <w:rFonts w:hint="eastAsia" w:ascii="Times New Roman" w:hAnsi="Times New Roman" w:eastAsia="仿宋_GB2312" w:cs="仿宋_GB2312"/>
          <w:color w:val="000000"/>
          <w:sz w:val="28"/>
          <w:szCs w:val="28"/>
          <w:highlight w:val="none"/>
          <w:lang w:val="en-US" w:eastAsia="zh-CN"/>
        </w:rPr>
        <w:t>（2）位于</w:t>
      </w:r>
      <w:r>
        <w:rPr>
          <w:rFonts w:hint="eastAsia" w:ascii="Times New Roman" w:hAnsi="Times New Roman" w:eastAsia="仿宋_GB2312" w:cs="仿宋_GB2312"/>
          <w:color w:val="000000"/>
          <w:sz w:val="28"/>
          <w:szCs w:val="28"/>
          <w:highlight w:val="none"/>
        </w:rPr>
        <w:t>广州市花都区元邦山清水秀二期项目别墅13套，面积合计3</w:t>
      </w:r>
      <w:r>
        <w:rPr>
          <w:rFonts w:hint="eastAsia" w:ascii="Times New Roman" w:hAnsi="Times New Roman" w:eastAsia="仿宋_GB2312" w:cs="仿宋_GB2312"/>
          <w:color w:val="000000"/>
          <w:sz w:val="28"/>
          <w:szCs w:val="28"/>
          <w:highlight w:val="none"/>
          <w:lang w:val="en-US"/>
        </w:rPr>
        <w:t>,</w:t>
      </w:r>
      <w:r>
        <w:rPr>
          <w:rFonts w:hint="eastAsia" w:ascii="Times New Roman" w:hAnsi="Times New Roman" w:eastAsia="仿宋_GB2312" w:cs="仿宋_GB2312"/>
          <w:color w:val="000000"/>
          <w:sz w:val="28"/>
          <w:szCs w:val="28"/>
          <w:highlight w:val="none"/>
        </w:rPr>
        <w:t>913.14㎡</w:t>
      </w:r>
      <w:r>
        <w:rPr>
          <w:rFonts w:hint="eastAsia" w:ascii="Times New Roman" w:hAnsi="Times New Roman" w:eastAsia="仿宋_GB2312" w:cs="仿宋_GB2312"/>
          <w:color w:val="000000"/>
          <w:sz w:val="28"/>
          <w:szCs w:val="28"/>
          <w:highlight w:val="none"/>
          <w:lang w:eastAsia="zh-CN"/>
        </w:rPr>
        <w:t>。</w:t>
      </w:r>
    </w:p>
    <w:p w14:paraId="06E5C346">
      <w:pPr>
        <w:pStyle w:val="10"/>
        <w:widowControl/>
        <w:spacing w:beforeAutospacing="0" w:afterAutospacing="0" w:line="360" w:lineRule="atLeast"/>
        <w:ind w:firstLine="560" w:firstLineChars="200"/>
        <w:jc w:val="both"/>
        <w:rPr>
          <w:rFonts w:hint="eastAsia" w:ascii="Times New Roman" w:hAnsi="Times New Roman" w:eastAsia="仿宋_GB2312" w:cs="仿宋_GB2312"/>
          <w:color w:val="000000"/>
          <w:sz w:val="28"/>
          <w:szCs w:val="28"/>
          <w:highlight w:val="none"/>
          <w:lang w:val="en-US" w:eastAsia="zh-CN"/>
        </w:rPr>
      </w:pPr>
      <w:r>
        <w:rPr>
          <w:rFonts w:hint="eastAsia" w:ascii="Times New Roman" w:hAnsi="Times New Roman" w:eastAsia="仿宋_GB2312" w:cs="仿宋_GB2312"/>
          <w:color w:val="000000"/>
          <w:sz w:val="28"/>
          <w:szCs w:val="28"/>
          <w:highlight w:val="none"/>
        </w:rPr>
        <w:t>元邦山清水秀</w:t>
      </w:r>
      <w:r>
        <w:rPr>
          <w:rFonts w:hint="eastAsia" w:ascii="Times New Roman" w:hAnsi="Times New Roman" w:eastAsia="仿宋_GB2312" w:cs="仿宋_GB2312"/>
          <w:color w:val="000000"/>
          <w:sz w:val="28"/>
          <w:szCs w:val="28"/>
          <w:highlight w:val="none"/>
          <w:lang w:val="en-US" w:eastAsia="zh-CN"/>
        </w:rPr>
        <w:t>小区距珠三角环线高速芙蓉嶂出口仅5分钟车程，属著名的旅游胜地芙蓉渡假村外围小象山区内，项目用地南侧紧靠山前旅游大道，北侧为小象山，距芙蓉渡假村西门约2公里。</w:t>
      </w:r>
    </w:p>
    <w:p w14:paraId="7EC2875B">
      <w:pPr>
        <w:pStyle w:val="10"/>
        <w:widowControl/>
        <w:spacing w:beforeAutospacing="0" w:afterAutospacing="0" w:line="360" w:lineRule="atLeast"/>
        <w:ind w:firstLine="560" w:firstLineChars="200"/>
        <w:jc w:val="both"/>
        <w:rPr>
          <w:rFonts w:hint="eastAsia" w:ascii="Times New Roman" w:hAnsi="Times New Roman" w:eastAsia="仿宋_GB2312" w:cs="仿宋_GB2312"/>
          <w:color w:val="000000"/>
          <w:sz w:val="28"/>
          <w:szCs w:val="28"/>
          <w:highlight w:val="none"/>
        </w:rPr>
      </w:pPr>
      <w:r>
        <w:rPr>
          <w:rFonts w:hint="eastAsia" w:ascii="Times New Roman" w:hAnsi="Times New Roman" w:eastAsia="仿宋_GB2312" w:cs="仿宋_GB2312"/>
          <w:color w:val="000000"/>
          <w:sz w:val="28"/>
          <w:szCs w:val="28"/>
          <w:highlight w:val="none"/>
        </w:rPr>
        <w:t>元邦山清水秀二期内部配备有博博熊幼儿园，周边2公里以内有新扬小学、狮岭镇卫生院、东福百货广场、新又新购物广场等学校、医疗、商业配套，周边配套较为完善。</w:t>
      </w:r>
    </w:p>
    <w:p w14:paraId="2559EDA2">
      <w:pPr>
        <w:pStyle w:val="10"/>
        <w:widowControl/>
        <w:spacing w:beforeAutospacing="0" w:afterAutospacing="0" w:line="360" w:lineRule="atLeast"/>
        <w:ind w:firstLine="562" w:firstLineChars="200"/>
        <w:jc w:val="both"/>
        <w:rPr>
          <w:rFonts w:hint="eastAsia" w:ascii="Times New Roman" w:hAnsi="Times New Roman" w:eastAsia="仿宋_GB2312" w:cs="仿宋_GB2312"/>
          <w:b/>
          <w:bCs/>
          <w:color w:val="000000"/>
          <w:sz w:val="28"/>
          <w:szCs w:val="28"/>
          <w:highlight w:val="none"/>
          <w:lang w:val="en-US" w:eastAsia="zh-CN"/>
        </w:rPr>
      </w:pPr>
      <w:r>
        <w:rPr>
          <w:rFonts w:hint="eastAsia" w:ascii="Times New Roman" w:hAnsi="Times New Roman" w:eastAsia="仿宋_GB2312" w:cs="仿宋_GB2312"/>
          <w:b/>
          <w:bCs/>
          <w:color w:val="000000"/>
          <w:sz w:val="28"/>
          <w:szCs w:val="28"/>
          <w:highlight w:val="none"/>
          <w:lang w:val="en-US" w:eastAsia="zh-CN"/>
        </w:rPr>
        <w:t>3.抵押物相关图片</w:t>
      </w:r>
    </w:p>
    <w:tbl>
      <w:tblPr>
        <w:tblStyle w:val="1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70"/>
        <w:gridCol w:w="436"/>
        <w:gridCol w:w="3616"/>
      </w:tblGrid>
      <w:tr w14:paraId="6F73F725">
        <w:trPr>
          <w:trHeight w:val="439" w:hRule="atLeast"/>
        </w:trPr>
        <w:tc>
          <w:tcPr>
            <w:tcW w:w="5000" w:type="pct"/>
            <w:gridSpan w:val="3"/>
            <w:tcBorders>
              <w:top w:val="single" w:color="auto" w:sz="4" w:space="0"/>
              <w:left w:val="single" w:color="auto" w:sz="4" w:space="0"/>
              <w:bottom w:val="single" w:color="auto" w:sz="4" w:space="0"/>
              <w:right w:val="single" w:color="auto" w:sz="4" w:space="0"/>
            </w:tcBorders>
            <w:vAlign w:val="center"/>
          </w:tcPr>
          <w:p w14:paraId="071528F9">
            <w:pPr>
              <w:pStyle w:val="10"/>
              <w:widowControl/>
              <w:spacing w:beforeAutospacing="0" w:afterAutospacing="0" w:line="360" w:lineRule="atLeast"/>
              <w:jc w:val="both"/>
              <w:rPr>
                <w:rFonts w:hint="eastAsia" w:ascii="Times New Roman" w:hAnsi="Times New Roman" w:eastAsia="仿宋" w:cs="仿宋"/>
                <w:b/>
                <w:bCs/>
                <w:color w:val="000000"/>
                <w:sz w:val="28"/>
                <w:szCs w:val="28"/>
                <w:highlight w:val="none"/>
              </w:rPr>
            </w:pPr>
            <w:r>
              <w:rPr>
                <w:rFonts w:hint="eastAsia" w:ascii="Times New Roman" w:hAnsi="Times New Roman" w:eastAsia="仿宋_GB2312" w:cs="仿宋_GB2312"/>
                <w:b/>
                <w:bCs/>
                <w:color w:val="000000"/>
                <w:sz w:val="28"/>
                <w:szCs w:val="28"/>
                <w:highlight w:val="none"/>
              </w:rPr>
              <w:t>（</w:t>
            </w:r>
            <w:r>
              <w:rPr>
                <w:rFonts w:hint="eastAsia" w:ascii="Times New Roman" w:hAnsi="Times New Roman" w:eastAsia="仿宋_GB2312" w:cs="仿宋_GB2312"/>
                <w:b/>
                <w:bCs/>
                <w:color w:val="000000"/>
                <w:sz w:val="28"/>
                <w:szCs w:val="28"/>
                <w:highlight w:val="none"/>
                <w:lang w:val="en-US" w:eastAsia="zh-CN"/>
              </w:rPr>
              <w:t>1</w:t>
            </w:r>
            <w:r>
              <w:rPr>
                <w:rFonts w:hint="eastAsia" w:ascii="Times New Roman" w:hAnsi="Times New Roman" w:eastAsia="仿宋_GB2312" w:cs="仿宋_GB2312"/>
                <w:b/>
                <w:bCs/>
                <w:color w:val="000000"/>
                <w:sz w:val="28"/>
                <w:szCs w:val="28"/>
                <w:highlight w:val="none"/>
              </w:rPr>
              <w:t>）</w:t>
            </w:r>
            <w:r>
              <w:rPr>
                <w:rFonts w:hint="eastAsia" w:ascii="Times New Roman" w:hAnsi="Times New Roman" w:eastAsia="仿宋_GB2312" w:cs="仿宋_GB2312"/>
                <w:b/>
                <w:bCs/>
                <w:color w:val="000000"/>
                <w:sz w:val="28"/>
                <w:szCs w:val="28"/>
                <w:highlight w:val="none"/>
                <w:lang w:val="en-US" w:eastAsia="zh-CN"/>
              </w:rPr>
              <w:t>花都区芙蓉镇新杨村的住宅用地</w:t>
            </w:r>
          </w:p>
        </w:tc>
      </w:tr>
      <w:tr w14:paraId="745A4E00">
        <w:trPr>
          <w:trHeight w:val="5112" w:hRule="atLeast"/>
        </w:trPr>
        <w:tc>
          <w:tcPr>
            <w:tcW w:w="5000" w:type="pct"/>
            <w:gridSpan w:val="3"/>
            <w:tcBorders>
              <w:top w:val="single" w:color="auto" w:sz="4" w:space="0"/>
              <w:left w:val="single" w:color="auto" w:sz="4" w:space="0"/>
              <w:bottom w:val="single" w:color="auto" w:sz="4" w:space="0"/>
              <w:right w:val="single" w:color="auto" w:sz="4" w:space="0"/>
            </w:tcBorders>
            <w:vAlign w:val="center"/>
          </w:tcPr>
          <w:p w14:paraId="4EDBED95">
            <w:pPr>
              <w:jc w:val="center"/>
              <w:rPr>
                <w:rFonts w:hint="eastAsia" w:ascii="Times New Roman" w:hAnsi="Times New Roman" w:eastAsia="仿宋" w:cs="仿宋"/>
                <w:kern w:val="0"/>
                <w:sz w:val="28"/>
                <w:szCs w:val="32"/>
                <w:highlight w:val="none"/>
                <w:lang w:eastAsia="zh-CN"/>
              </w:rPr>
            </w:pPr>
            <w:r>
              <w:rPr>
                <w:rFonts w:hint="eastAsia" w:ascii="Times New Roman" w:hAnsi="Times New Roman" w:eastAsia="仿宋" w:cs="仿宋"/>
                <w:color w:val="FF0000"/>
                <w:sz w:val="32"/>
                <w:szCs w:val="32"/>
                <w:highlight w:val="none"/>
              </w:rPr>
              <w:drawing>
                <wp:inline distT="0" distB="0" distL="0" distR="0">
                  <wp:extent cx="4427855" cy="3070860"/>
                  <wp:effectExtent l="0" t="0" r="17145" b="2540"/>
                  <wp:docPr id="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
                          <pic:cNvPicPr>
                            <a:picLocks noChangeAspect="1" noChangeArrowheads="1"/>
                          </pic:cNvPicPr>
                        </pic:nvPicPr>
                        <pic:blipFill>
                          <a:blip r:embed="rId4" cstate="print"/>
                          <a:srcRect/>
                          <a:stretch>
                            <a:fillRect/>
                          </a:stretch>
                        </pic:blipFill>
                        <pic:spPr>
                          <a:xfrm>
                            <a:off x="0" y="0"/>
                            <a:ext cx="4427855" cy="3070860"/>
                          </a:xfrm>
                          <a:prstGeom prst="rect">
                            <a:avLst/>
                          </a:prstGeom>
                          <a:noFill/>
                          <a:ln w="9525">
                            <a:noFill/>
                            <a:miter lim="800000"/>
                            <a:headEnd/>
                            <a:tailEnd/>
                          </a:ln>
                        </pic:spPr>
                      </pic:pic>
                    </a:graphicData>
                  </a:graphic>
                </wp:inline>
              </w:drawing>
            </w:r>
          </w:p>
          <w:p w14:paraId="51E32814">
            <w:pPr>
              <w:jc w:val="center"/>
              <w:rPr>
                <w:rFonts w:hint="eastAsia" w:ascii="Times New Roman" w:hAnsi="Times New Roman" w:eastAsia="仿宋" w:cs="仿宋"/>
                <w:b/>
                <w:sz w:val="28"/>
                <w:szCs w:val="28"/>
                <w:highlight w:val="none"/>
                <w:lang w:val="en-US" w:eastAsia="zh-CN"/>
              </w:rPr>
            </w:pPr>
            <w:r>
              <w:rPr>
                <w:rFonts w:hint="eastAsia" w:ascii="Times New Roman" w:hAnsi="Times New Roman" w:eastAsia="仿宋_GB2312" w:cs="仿宋_GB2312"/>
                <w:b w:val="0"/>
                <w:bCs/>
                <w:sz w:val="28"/>
                <w:szCs w:val="28"/>
                <w:highlight w:val="none"/>
                <w:lang w:val="en-US" w:eastAsia="zh-CN"/>
              </w:rPr>
              <w:t>地块所处位置示意图</w:t>
            </w:r>
          </w:p>
        </w:tc>
      </w:tr>
      <w:tr w14:paraId="308BA0A8">
        <w:trPr>
          <w:trHeight w:val="5112" w:hRule="atLeast"/>
        </w:trPr>
        <w:tc>
          <w:tcPr>
            <w:tcW w:w="5000" w:type="pct"/>
            <w:gridSpan w:val="3"/>
            <w:tcBorders>
              <w:top w:val="single" w:color="auto" w:sz="4" w:space="0"/>
              <w:left w:val="single" w:color="auto" w:sz="4" w:space="0"/>
              <w:bottom w:val="single" w:color="auto" w:sz="4" w:space="0"/>
              <w:right w:val="single" w:color="auto" w:sz="4" w:space="0"/>
            </w:tcBorders>
            <w:vAlign w:val="center"/>
          </w:tcPr>
          <w:p w14:paraId="53E1B7C2">
            <w:pPr>
              <w:jc w:val="center"/>
              <w:rPr>
                <w:rFonts w:hint="eastAsia" w:ascii="Times New Roman" w:hAnsi="Times New Roman" w:eastAsia="仿宋" w:cs="仿宋"/>
                <w:b w:val="0"/>
                <w:bCs/>
                <w:sz w:val="28"/>
                <w:szCs w:val="28"/>
                <w:highlight w:val="none"/>
                <w:lang w:val="en-US" w:eastAsia="zh-CN"/>
              </w:rPr>
            </w:pPr>
            <w:r>
              <w:rPr>
                <w:rFonts w:hint="eastAsia" w:ascii="Times New Roman" w:hAnsi="Times New Roman" w:eastAsia="仿宋" w:cs="仿宋"/>
                <w:highlight w:val="none"/>
              </w:rPr>
              <w:drawing>
                <wp:inline distT="0" distB="0" distL="114300" distR="114300">
                  <wp:extent cx="4891405" cy="3205480"/>
                  <wp:effectExtent l="0" t="0" r="10795" b="20320"/>
                  <wp:docPr id="3" name="Picture 3" descr="花都地块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花都地块示意图"/>
                          <pic:cNvPicPr>
                            <a:picLocks noChangeAspect="1"/>
                          </pic:cNvPicPr>
                        </pic:nvPicPr>
                        <pic:blipFill>
                          <a:blip r:embed="rId5"/>
                          <a:stretch>
                            <a:fillRect/>
                          </a:stretch>
                        </pic:blipFill>
                        <pic:spPr>
                          <a:xfrm>
                            <a:off x="0" y="0"/>
                            <a:ext cx="4891405" cy="3205480"/>
                          </a:xfrm>
                          <a:prstGeom prst="rect">
                            <a:avLst/>
                          </a:prstGeom>
                        </pic:spPr>
                      </pic:pic>
                    </a:graphicData>
                  </a:graphic>
                </wp:inline>
              </w:drawing>
            </w:r>
          </w:p>
        </w:tc>
      </w:tr>
      <w:tr w14:paraId="3832B59A">
        <w:tc>
          <w:tcPr>
            <w:tcW w:w="2622" w:type="pct"/>
            <w:tcBorders>
              <w:top w:val="single" w:color="auto" w:sz="4" w:space="0"/>
              <w:left w:val="single" w:color="auto" w:sz="4" w:space="0"/>
              <w:bottom w:val="single" w:color="auto" w:sz="4" w:space="0"/>
              <w:right w:val="single" w:color="auto" w:sz="4" w:space="0"/>
            </w:tcBorders>
            <w:vAlign w:val="center"/>
          </w:tcPr>
          <w:p w14:paraId="381175C0">
            <w:pPr>
              <w:jc w:val="center"/>
              <w:rPr>
                <w:rFonts w:hint="eastAsia" w:ascii="Times New Roman" w:hAnsi="Times New Roman" w:eastAsia="仿宋" w:cs="仿宋"/>
                <w:kern w:val="0"/>
                <w:sz w:val="28"/>
                <w:szCs w:val="32"/>
                <w:highlight w:val="none"/>
                <w:lang w:eastAsia="zh-CN"/>
              </w:rPr>
            </w:pPr>
            <w:r>
              <w:rPr>
                <w:rFonts w:hint="eastAsia" w:ascii="Times New Roman" w:hAnsi="Times New Roman" w:eastAsia="仿宋" w:cs="仿宋"/>
                <w:highlight w:val="none"/>
              </w:rPr>
              <w:drawing>
                <wp:inline distT="0" distB="0" distL="114300" distR="114300">
                  <wp:extent cx="2664460" cy="1998345"/>
                  <wp:effectExtent l="0" t="0" r="2540" b="8255"/>
                  <wp:docPr id="24" name="图片 24" descr="/private/var/folders/sd/3blvlp1140x8crnf_lwlbnbc0000gp/T/com.kingsoft.wpsoffice.mac/picturecompress_20240407144712/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private/var/folders/sd/3blvlp1140x8crnf_lwlbnbc0000gp/T/com.kingsoft.wpsoffice.mac/picturecompress_20240407144712/output_1.jpgoutput_1"/>
                          <pic:cNvPicPr>
                            <a:picLocks noChangeAspect="1"/>
                          </pic:cNvPicPr>
                        </pic:nvPicPr>
                        <pic:blipFill>
                          <a:blip r:embed="rId6"/>
                          <a:stretch>
                            <a:fillRect/>
                          </a:stretch>
                        </pic:blipFill>
                        <pic:spPr>
                          <a:xfrm>
                            <a:off x="0" y="0"/>
                            <a:ext cx="2664460" cy="1998345"/>
                          </a:xfrm>
                          <a:prstGeom prst="rect">
                            <a:avLst/>
                          </a:prstGeom>
                        </pic:spPr>
                      </pic:pic>
                    </a:graphicData>
                  </a:graphic>
                </wp:inline>
              </w:drawing>
            </w:r>
          </w:p>
        </w:tc>
        <w:tc>
          <w:tcPr>
            <w:tcW w:w="2377" w:type="pct"/>
            <w:gridSpan w:val="2"/>
            <w:tcBorders>
              <w:top w:val="single" w:color="auto" w:sz="4" w:space="0"/>
              <w:left w:val="single" w:color="auto" w:sz="4" w:space="0"/>
              <w:bottom w:val="single" w:color="auto" w:sz="4" w:space="0"/>
              <w:right w:val="single" w:color="auto" w:sz="4" w:space="0"/>
            </w:tcBorders>
            <w:vAlign w:val="center"/>
          </w:tcPr>
          <w:p w14:paraId="0F6741FF">
            <w:pPr>
              <w:jc w:val="center"/>
              <w:rPr>
                <w:rFonts w:hint="eastAsia" w:ascii="Times New Roman" w:hAnsi="Times New Roman" w:eastAsia="仿宋" w:cs="仿宋"/>
                <w:highlight w:val="none"/>
              </w:rPr>
            </w:pPr>
            <w:r>
              <w:rPr>
                <w:rFonts w:hint="eastAsia" w:ascii="Times New Roman" w:hAnsi="Times New Roman" w:eastAsia="仿宋" w:cs="仿宋"/>
                <w:highlight w:val="none"/>
              </w:rPr>
              <w:drawing>
                <wp:inline distT="0" distB="0" distL="114300" distR="114300">
                  <wp:extent cx="2415540" cy="1811655"/>
                  <wp:effectExtent l="0" t="0" r="22860" b="17145"/>
                  <wp:docPr id="23" name="图片 13" descr="/private/var/folders/sd/3blvlp1140x8crnf_lwlbnbc0000gp/T/com.kingsoft.wpsoffice.mac/picturecompress_20240407144639/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3" descr="/private/var/folders/sd/3blvlp1140x8crnf_lwlbnbc0000gp/T/com.kingsoft.wpsoffice.mac/picturecompress_20240407144639/output_1.jpgoutput_1"/>
                          <pic:cNvPicPr>
                            <a:picLocks noChangeAspect="1"/>
                          </pic:cNvPicPr>
                        </pic:nvPicPr>
                        <pic:blipFill>
                          <a:blip r:embed="rId7"/>
                          <a:stretch>
                            <a:fillRect/>
                          </a:stretch>
                        </pic:blipFill>
                        <pic:spPr>
                          <a:xfrm>
                            <a:off x="0" y="0"/>
                            <a:ext cx="2415540" cy="1811655"/>
                          </a:xfrm>
                          <a:prstGeom prst="rect">
                            <a:avLst/>
                          </a:prstGeom>
                        </pic:spPr>
                      </pic:pic>
                    </a:graphicData>
                  </a:graphic>
                </wp:inline>
              </w:drawing>
            </w:r>
          </w:p>
        </w:tc>
      </w:tr>
      <w:tr w14:paraId="400A9CA8">
        <w:trPr>
          <w:trHeight w:val="439" w:hRule="atLeast"/>
        </w:trPr>
        <w:tc>
          <w:tcPr>
            <w:tcW w:w="5000" w:type="pct"/>
            <w:gridSpan w:val="3"/>
            <w:tcBorders>
              <w:top w:val="single" w:color="auto" w:sz="4" w:space="0"/>
              <w:left w:val="single" w:color="auto" w:sz="4" w:space="0"/>
              <w:bottom w:val="single" w:color="auto" w:sz="4" w:space="0"/>
              <w:right w:val="single" w:color="auto" w:sz="4" w:space="0"/>
            </w:tcBorders>
            <w:vAlign w:val="center"/>
          </w:tcPr>
          <w:p w14:paraId="2521BA72">
            <w:pPr>
              <w:pStyle w:val="10"/>
              <w:widowControl/>
              <w:spacing w:beforeAutospacing="0" w:afterAutospacing="0" w:line="360" w:lineRule="atLeast"/>
              <w:jc w:val="both"/>
              <w:rPr>
                <w:rFonts w:hint="eastAsia" w:ascii="Times New Roman" w:hAnsi="Times New Roman" w:eastAsia="仿宋" w:cs="仿宋"/>
                <w:b/>
                <w:bCs/>
                <w:color w:val="000000"/>
                <w:sz w:val="28"/>
                <w:szCs w:val="28"/>
                <w:highlight w:val="none"/>
              </w:rPr>
            </w:pPr>
            <w:r>
              <w:rPr>
                <w:rFonts w:hint="eastAsia" w:ascii="Times New Roman" w:hAnsi="Times New Roman" w:eastAsia="仿宋_GB2312" w:cs="仿宋_GB2312"/>
                <w:b/>
                <w:bCs/>
                <w:color w:val="000000"/>
                <w:sz w:val="28"/>
                <w:szCs w:val="28"/>
                <w:highlight w:val="none"/>
              </w:rPr>
              <w:t>（</w:t>
            </w:r>
            <w:r>
              <w:rPr>
                <w:rFonts w:hint="eastAsia" w:ascii="Times New Roman" w:hAnsi="Times New Roman" w:eastAsia="仿宋_GB2312" w:cs="仿宋_GB2312"/>
                <w:b/>
                <w:bCs/>
                <w:color w:val="000000"/>
                <w:sz w:val="28"/>
                <w:szCs w:val="28"/>
                <w:highlight w:val="none"/>
                <w:lang w:val="en-US" w:eastAsia="zh-CN"/>
              </w:rPr>
              <w:t>2</w:t>
            </w:r>
            <w:r>
              <w:rPr>
                <w:rFonts w:hint="eastAsia" w:ascii="Times New Roman" w:hAnsi="Times New Roman" w:eastAsia="仿宋_GB2312" w:cs="仿宋_GB2312"/>
                <w:b/>
                <w:bCs/>
                <w:color w:val="000000"/>
                <w:sz w:val="28"/>
                <w:szCs w:val="28"/>
                <w:highlight w:val="none"/>
              </w:rPr>
              <w:t>）</w:t>
            </w:r>
            <w:r>
              <w:rPr>
                <w:rFonts w:hint="eastAsia" w:ascii="Times New Roman" w:hAnsi="Times New Roman" w:eastAsia="仿宋_GB2312" w:cs="仿宋_GB2312"/>
                <w:b/>
                <w:bCs/>
                <w:color w:val="000000"/>
                <w:sz w:val="28"/>
                <w:szCs w:val="28"/>
                <w:highlight w:val="none"/>
                <w:lang w:val="en-US" w:eastAsia="zh-CN"/>
              </w:rPr>
              <w:t>元邦大厦</w:t>
            </w:r>
          </w:p>
        </w:tc>
      </w:tr>
      <w:tr w14:paraId="29D6CE09">
        <w:trPr>
          <w:trHeight w:val="3507" w:hRule="atLeast"/>
        </w:trPr>
        <w:tc>
          <w:tcPr>
            <w:tcW w:w="2622" w:type="pct"/>
            <w:tcBorders>
              <w:top w:val="single" w:color="auto" w:sz="4" w:space="0"/>
              <w:left w:val="single" w:color="auto" w:sz="4" w:space="0"/>
              <w:bottom w:val="single" w:color="auto" w:sz="4" w:space="0"/>
              <w:right w:val="single" w:color="auto" w:sz="4" w:space="0"/>
            </w:tcBorders>
            <w:vAlign w:val="center"/>
          </w:tcPr>
          <w:p w14:paraId="6D99FC99">
            <w:pPr>
              <w:jc w:val="center"/>
              <w:rPr>
                <w:rFonts w:hint="eastAsia" w:ascii="Times New Roman" w:hAnsi="Times New Roman" w:eastAsia="仿宋" w:cs="仿宋"/>
                <w:kern w:val="0"/>
                <w:sz w:val="28"/>
                <w:szCs w:val="32"/>
                <w:highlight w:val="none"/>
                <w:lang w:eastAsia="zh-CN"/>
              </w:rPr>
            </w:pPr>
            <w:r>
              <w:rPr>
                <w:rFonts w:hint="eastAsia" w:ascii="Times New Roman" w:hAnsi="Times New Roman" w:eastAsia="仿宋" w:cs="仿宋"/>
                <w:b/>
                <w:sz w:val="28"/>
                <w:szCs w:val="28"/>
                <w:highlight w:val="none"/>
              </w:rPr>
              <w:drawing>
                <wp:anchor distT="0" distB="0" distL="114300" distR="114300" simplePos="0" relativeHeight="251660288" behindDoc="0" locked="0" layoutInCell="1" allowOverlap="1">
                  <wp:simplePos x="0" y="0"/>
                  <wp:positionH relativeFrom="column">
                    <wp:posOffset>-68580</wp:posOffset>
                  </wp:positionH>
                  <wp:positionV relativeFrom="paragraph">
                    <wp:posOffset>688340</wp:posOffset>
                  </wp:positionV>
                  <wp:extent cx="3209290" cy="2456815"/>
                  <wp:effectExtent l="0" t="0" r="16510" b="6985"/>
                  <wp:wrapTopAndBottom/>
                  <wp:docPr id="2" name="图片 2" descr="Screenshot 2023-07-03 at 4.53.25 P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Screenshot 2023-07-03 at 4.53.25 PM"/>
                          <pic:cNvPicPr>
                            <a:picLocks noChangeAspect="1"/>
                          </pic:cNvPicPr>
                        </pic:nvPicPr>
                        <pic:blipFill>
                          <a:blip r:embed="rId8"/>
                          <a:stretch>
                            <a:fillRect/>
                          </a:stretch>
                        </pic:blipFill>
                        <pic:spPr>
                          <a:xfrm>
                            <a:off x="0" y="0"/>
                            <a:ext cx="3209290" cy="2456815"/>
                          </a:xfrm>
                          <a:prstGeom prst="rect">
                            <a:avLst/>
                          </a:prstGeom>
                        </pic:spPr>
                      </pic:pic>
                    </a:graphicData>
                  </a:graphic>
                </wp:anchor>
              </w:drawing>
            </w:r>
            <w:r>
              <w:rPr>
                <w:rFonts w:hint="eastAsia" w:ascii="Times New Roman" w:hAnsi="Times New Roman" w:eastAsia="仿宋" w:cs="仿宋"/>
                <w:b/>
                <w:sz w:val="28"/>
                <w:szCs w:val="28"/>
                <w:highlight w:val="none"/>
              </w:rPr>
              <w:drawing>
                <wp:anchor distT="0" distB="0" distL="114300" distR="114300" simplePos="0" relativeHeight="251659264" behindDoc="0" locked="0" layoutInCell="1" allowOverlap="1">
                  <wp:simplePos x="0" y="0"/>
                  <wp:positionH relativeFrom="column">
                    <wp:posOffset>754380</wp:posOffset>
                  </wp:positionH>
                  <wp:positionV relativeFrom="paragraph">
                    <wp:posOffset>197485</wp:posOffset>
                  </wp:positionV>
                  <wp:extent cx="3008630" cy="2303145"/>
                  <wp:effectExtent l="0" t="0" r="13970" b="8255"/>
                  <wp:wrapTopAndBottom/>
                  <wp:docPr id="11" name="图片 11" descr="Screenshot 2023-07-03 at 4.53.25 P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Screenshot 2023-07-03 at 4.53.25 PM"/>
                          <pic:cNvPicPr>
                            <a:picLocks noChangeAspect="1"/>
                          </pic:cNvPicPr>
                        </pic:nvPicPr>
                        <pic:blipFill>
                          <a:blip r:embed="rId8"/>
                          <a:stretch>
                            <a:fillRect/>
                          </a:stretch>
                        </pic:blipFill>
                        <pic:spPr>
                          <a:xfrm>
                            <a:off x="0" y="0"/>
                            <a:ext cx="3008630" cy="2303145"/>
                          </a:xfrm>
                          <a:prstGeom prst="rect">
                            <a:avLst/>
                          </a:prstGeom>
                        </pic:spPr>
                      </pic:pic>
                    </a:graphicData>
                  </a:graphic>
                </wp:anchor>
              </w:drawing>
            </w:r>
          </w:p>
        </w:tc>
        <w:tc>
          <w:tcPr>
            <w:tcW w:w="2377" w:type="pct"/>
            <w:gridSpan w:val="2"/>
            <w:tcBorders>
              <w:top w:val="single" w:color="auto" w:sz="4" w:space="0"/>
              <w:left w:val="single" w:color="auto" w:sz="4" w:space="0"/>
              <w:bottom w:val="single" w:color="auto" w:sz="4" w:space="0"/>
              <w:right w:val="single" w:color="auto" w:sz="4" w:space="0"/>
            </w:tcBorders>
            <w:vAlign w:val="center"/>
          </w:tcPr>
          <w:p w14:paraId="20213B90">
            <w:pPr>
              <w:jc w:val="center"/>
              <w:rPr>
                <w:rFonts w:hint="eastAsia" w:ascii="Times New Roman" w:hAnsi="Times New Roman" w:eastAsia="仿宋" w:cs="仿宋"/>
                <w:b/>
                <w:sz w:val="28"/>
                <w:szCs w:val="28"/>
                <w:highlight w:val="none"/>
              </w:rPr>
            </w:pPr>
            <w:r>
              <w:rPr>
                <w:rFonts w:hint="eastAsia" w:ascii="Times New Roman" w:hAnsi="Times New Roman" w:eastAsia="仿宋" w:cs="仿宋"/>
                <w:highlight w:val="none"/>
              </w:rPr>
              <w:drawing>
                <wp:inline distT="0" distB="0" distL="114300" distR="114300">
                  <wp:extent cx="2992120" cy="2244725"/>
                  <wp:effectExtent l="0" t="0" r="15875" b="5080"/>
                  <wp:docPr id="5" name="图片 4" descr="/private/var/folders/sd/3blvlp1140x8crnf_lwlbnbc0000gp/T/com.kingsoft.wpsoffice.mac/picturecompress_20240707211148/output_2.jpgoutput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private/var/folders/sd/3blvlp1140x8crnf_lwlbnbc0000gp/T/com.kingsoft.wpsoffice.mac/picturecompress_20240707211148/output_2.jpgoutput_2"/>
                          <pic:cNvPicPr>
                            <a:picLocks noChangeAspect="1"/>
                          </pic:cNvPicPr>
                        </pic:nvPicPr>
                        <pic:blipFill>
                          <a:blip r:embed="rId9"/>
                          <a:stretch>
                            <a:fillRect/>
                          </a:stretch>
                        </pic:blipFill>
                        <pic:spPr>
                          <a:xfrm rot="5400000">
                            <a:off x="0" y="0"/>
                            <a:ext cx="2992120" cy="2244725"/>
                          </a:xfrm>
                          <a:prstGeom prst="rect">
                            <a:avLst/>
                          </a:prstGeom>
                        </pic:spPr>
                      </pic:pic>
                    </a:graphicData>
                  </a:graphic>
                </wp:inline>
              </w:drawing>
            </w:r>
          </w:p>
        </w:tc>
      </w:tr>
      <w:tr w14:paraId="0E941E40">
        <w:tc>
          <w:tcPr>
            <w:tcW w:w="2622" w:type="pct"/>
            <w:tcBorders>
              <w:top w:val="single" w:color="auto" w:sz="4" w:space="0"/>
              <w:left w:val="single" w:color="auto" w:sz="4" w:space="0"/>
              <w:bottom w:val="single" w:color="auto" w:sz="4" w:space="0"/>
              <w:right w:val="single" w:color="auto" w:sz="4" w:space="0"/>
            </w:tcBorders>
            <w:vAlign w:val="center"/>
          </w:tcPr>
          <w:p w14:paraId="11952064">
            <w:pPr>
              <w:jc w:val="center"/>
              <w:rPr>
                <w:rFonts w:hint="eastAsia" w:ascii="Times New Roman" w:hAnsi="Times New Roman" w:eastAsia="仿宋" w:cs="仿宋"/>
                <w:kern w:val="0"/>
                <w:sz w:val="28"/>
                <w:szCs w:val="32"/>
                <w:highlight w:val="none"/>
                <w:lang w:eastAsia="zh-CN"/>
              </w:rPr>
            </w:pPr>
            <w:r>
              <w:rPr>
                <w:rFonts w:hint="eastAsia" w:ascii="Times New Roman" w:hAnsi="Times New Roman" w:eastAsia="仿宋" w:cs="仿宋"/>
                <w:highlight w:val="none"/>
              </w:rPr>
              <w:drawing>
                <wp:inline distT="0" distB="0" distL="114300" distR="114300">
                  <wp:extent cx="2529840" cy="1897380"/>
                  <wp:effectExtent l="0" t="0" r="10160" b="7620"/>
                  <wp:docPr id="10" name="图片 5" descr="/private/var/folders/sd/3blvlp1140x8crnf_lwlbnbc0000gp/T/com.kingsoft.wpsoffice.mac/picturecompress_20240707211148/output_3.jpgoutput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 descr="/private/var/folders/sd/3blvlp1140x8crnf_lwlbnbc0000gp/T/com.kingsoft.wpsoffice.mac/picturecompress_20240707211148/output_3.jpgoutput_3"/>
                          <pic:cNvPicPr>
                            <a:picLocks noChangeAspect="1"/>
                          </pic:cNvPicPr>
                        </pic:nvPicPr>
                        <pic:blipFill>
                          <a:blip r:embed="rId10"/>
                          <a:stretch>
                            <a:fillRect/>
                          </a:stretch>
                        </pic:blipFill>
                        <pic:spPr>
                          <a:xfrm>
                            <a:off x="0" y="0"/>
                            <a:ext cx="2529840" cy="1897380"/>
                          </a:xfrm>
                          <a:prstGeom prst="rect">
                            <a:avLst/>
                          </a:prstGeom>
                        </pic:spPr>
                      </pic:pic>
                    </a:graphicData>
                  </a:graphic>
                </wp:inline>
              </w:drawing>
            </w:r>
          </w:p>
        </w:tc>
        <w:tc>
          <w:tcPr>
            <w:tcW w:w="2377" w:type="pct"/>
            <w:gridSpan w:val="2"/>
            <w:tcBorders>
              <w:top w:val="single" w:color="auto" w:sz="4" w:space="0"/>
              <w:left w:val="single" w:color="auto" w:sz="4" w:space="0"/>
              <w:bottom w:val="single" w:color="auto" w:sz="4" w:space="0"/>
              <w:right w:val="single" w:color="auto" w:sz="4" w:space="0"/>
            </w:tcBorders>
            <w:vAlign w:val="center"/>
          </w:tcPr>
          <w:p w14:paraId="66919FF0">
            <w:pPr>
              <w:jc w:val="center"/>
              <w:rPr>
                <w:rFonts w:hint="eastAsia" w:ascii="Times New Roman" w:hAnsi="Times New Roman" w:eastAsia="仿宋" w:cs="仿宋"/>
                <w:highlight w:val="none"/>
              </w:rPr>
            </w:pPr>
            <w:r>
              <w:rPr>
                <w:rFonts w:hint="eastAsia" w:ascii="Times New Roman" w:hAnsi="Times New Roman" w:eastAsia="仿宋" w:cs="仿宋"/>
                <w:highlight w:val="none"/>
              </w:rPr>
              <w:drawing>
                <wp:inline distT="0" distB="0" distL="114300" distR="114300">
                  <wp:extent cx="2471420" cy="1853565"/>
                  <wp:effectExtent l="0" t="0" r="17780" b="635"/>
                  <wp:docPr id="6" name="图片 2" descr="/private/var/folders/sd/3blvlp1140x8crnf_lwlbnbc0000gp/T/com.kingsoft.wpsoffice.mac/picturecompress_20240707211148/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descr="/private/var/folders/sd/3blvlp1140x8crnf_lwlbnbc0000gp/T/com.kingsoft.wpsoffice.mac/picturecompress_20240707211148/output_1.jpgoutput_1"/>
                          <pic:cNvPicPr>
                            <a:picLocks noChangeAspect="1"/>
                          </pic:cNvPicPr>
                        </pic:nvPicPr>
                        <pic:blipFill>
                          <a:blip r:embed="rId11"/>
                          <a:stretch>
                            <a:fillRect/>
                          </a:stretch>
                        </pic:blipFill>
                        <pic:spPr>
                          <a:xfrm>
                            <a:off x="0" y="0"/>
                            <a:ext cx="2471420" cy="1853565"/>
                          </a:xfrm>
                          <a:prstGeom prst="rect">
                            <a:avLst/>
                          </a:prstGeom>
                        </pic:spPr>
                      </pic:pic>
                    </a:graphicData>
                  </a:graphic>
                </wp:inline>
              </w:drawing>
            </w:r>
          </w:p>
        </w:tc>
      </w:tr>
      <w:tr w14:paraId="2F1D9700">
        <w:tc>
          <w:tcPr>
            <w:tcW w:w="5000" w:type="pct"/>
            <w:gridSpan w:val="3"/>
            <w:tcBorders>
              <w:top w:val="single" w:color="auto" w:sz="4" w:space="0"/>
              <w:left w:val="single" w:color="auto" w:sz="4" w:space="0"/>
              <w:bottom w:val="single" w:color="auto" w:sz="4" w:space="0"/>
              <w:right w:val="single" w:color="auto" w:sz="4" w:space="0"/>
            </w:tcBorders>
            <w:vAlign w:val="center"/>
          </w:tcPr>
          <w:p w14:paraId="339E1174">
            <w:pPr>
              <w:pStyle w:val="10"/>
              <w:widowControl/>
              <w:spacing w:beforeAutospacing="0" w:afterAutospacing="0" w:line="360" w:lineRule="atLeast"/>
              <w:jc w:val="both"/>
              <w:rPr>
                <w:rFonts w:hint="eastAsia" w:ascii="Times New Roman" w:hAnsi="Times New Roman" w:eastAsia="仿宋" w:cs="仿宋"/>
                <w:kern w:val="0"/>
                <w:sz w:val="28"/>
                <w:szCs w:val="32"/>
                <w:highlight w:val="none"/>
                <w:lang w:val="en-US"/>
              </w:rPr>
            </w:pPr>
            <w:r>
              <w:rPr>
                <w:rFonts w:hint="eastAsia" w:ascii="Times New Roman" w:hAnsi="Times New Roman" w:eastAsia="仿宋_GB2312" w:cs="仿宋_GB2312"/>
                <w:b/>
                <w:bCs/>
                <w:color w:val="000000"/>
                <w:sz w:val="28"/>
                <w:szCs w:val="28"/>
                <w:highlight w:val="none"/>
              </w:rPr>
              <w:t>（</w:t>
            </w:r>
            <w:r>
              <w:rPr>
                <w:rFonts w:hint="eastAsia" w:ascii="Times New Roman" w:hAnsi="Times New Roman" w:eastAsia="仿宋_GB2312" w:cs="仿宋_GB2312"/>
                <w:b/>
                <w:bCs/>
                <w:color w:val="000000"/>
                <w:sz w:val="28"/>
                <w:szCs w:val="28"/>
                <w:highlight w:val="none"/>
                <w:lang w:val="en-US" w:eastAsia="zh-CN"/>
              </w:rPr>
              <w:t>3</w:t>
            </w:r>
            <w:r>
              <w:rPr>
                <w:rFonts w:hint="eastAsia" w:ascii="Times New Roman" w:hAnsi="Times New Roman" w:eastAsia="仿宋_GB2312" w:cs="仿宋_GB2312"/>
                <w:b/>
                <w:bCs/>
                <w:color w:val="000000"/>
                <w:sz w:val="28"/>
                <w:szCs w:val="28"/>
                <w:highlight w:val="none"/>
              </w:rPr>
              <w:t>）</w:t>
            </w:r>
            <w:r>
              <w:rPr>
                <w:rFonts w:hint="eastAsia" w:ascii="Times New Roman" w:hAnsi="Times New Roman" w:eastAsia="仿宋_GB2312" w:cs="仿宋_GB2312"/>
                <w:b/>
                <w:bCs/>
                <w:color w:val="000000"/>
                <w:sz w:val="28"/>
                <w:szCs w:val="28"/>
                <w:highlight w:val="none"/>
                <w:lang w:val="en-US" w:eastAsia="zh-CN"/>
              </w:rPr>
              <w:t>元邦山清水秀二期项目别墅</w:t>
            </w:r>
          </w:p>
        </w:tc>
      </w:tr>
      <w:tr w14:paraId="33F21EBB">
        <w:tc>
          <w:tcPr>
            <w:tcW w:w="2878" w:type="pct"/>
            <w:gridSpan w:val="2"/>
            <w:tcBorders>
              <w:top w:val="single" w:color="auto" w:sz="4" w:space="0"/>
              <w:left w:val="single" w:color="auto" w:sz="4" w:space="0"/>
              <w:bottom w:val="single" w:color="auto" w:sz="4" w:space="0"/>
              <w:right w:val="single" w:color="auto" w:sz="4" w:space="0"/>
            </w:tcBorders>
            <w:vAlign w:val="center"/>
          </w:tcPr>
          <w:p w14:paraId="15043C7B">
            <w:pPr>
              <w:jc w:val="center"/>
              <w:rPr>
                <w:rFonts w:hint="eastAsia" w:ascii="Times New Roman" w:hAnsi="Times New Roman" w:eastAsia="仿宋" w:cs="仿宋"/>
                <w:kern w:val="0"/>
                <w:sz w:val="28"/>
                <w:szCs w:val="32"/>
                <w:highlight w:val="none"/>
                <w:lang w:val="en-US" w:eastAsia="zh-CN"/>
              </w:rPr>
            </w:pPr>
            <w:r>
              <w:rPr>
                <w:rFonts w:hint="eastAsia" w:ascii="Times New Roman" w:hAnsi="Times New Roman" w:eastAsia="仿宋_GB2312" w:cs="仿宋_GB2312"/>
                <w:b w:val="0"/>
                <w:bCs/>
                <w:sz w:val="28"/>
                <w:szCs w:val="28"/>
                <w:highlight w:val="none"/>
                <w:lang w:val="en-US" w:eastAsia="zh-CN"/>
              </w:rPr>
              <w:drawing>
                <wp:anchor distT="0" distB="0" distL="114935" distR="114935" simplePos="0" relativeHeight="251661312" behindDoc="0" locked="0" layoutInCell="1" allowOverlap="1">
                  <wp:simplePos x="0" y="0"/>
                  <wp:positionH relativeFrom="column">
                    <wp:posOffset>-13335</wp:posOffset>
                  </wp:positionH>
                  <wp:positionV relativeFrom="paragraph">
                    <wp:posOffset>-4020820</wp:posOffset>
                  </wp:positionV>
                  <wp:extent cx="3308985" cy="2121535"/>
                  <wp:effectExtent l="0" t="0" r="18415" b="12065"/>
                  <wp:wrapTopAndBottom/>
                  <wp:docPr id="1" name="图片 1" descr="山清水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山清水秀"/>
                          <pic:cNvPicPr>
                            <a:picLocks noChangeAspect="1"/>
                          </pic:cNvPicPr>
                        </pic:nvPicPr>
                        <pic:blipFill>
                          <a:blip r:embed="rId12"/>
                          <a:srcRect l="1792" t="2518" r="-994" b="116"/>
                          <a:stretch>
                            <a:fillRect/>
                          </a:stretch>
                        </pic:blipFill>
                        <pic:spPr>
                          <a:xfrm>
                            <a:off x="0" y="0"/>
                            <a:ext cx="3308985" cy="2121535"/>
                          </a:xfrm>
                          <a:prstGeom prst="rect">
                            <a:avLst/>
                          </a:prstGeom>
                        </pic:spPr>
                      </pic:pic>
                    </a:graphicData>
                  </a:graphic>
                </wp:anchor>
              </w:drawing>
            </w:r>
            <w:r>
              <w:rPr>
                <w:rFonts w:hint="eastAsia" w:ascii="Times New Roman" w:hAnsi="Times New Roman" w:eastAsia="仿宋_GB2312" w:cs="仿宋_GB2312"/>
                <w:b w:val="0"/>
                <w:bCs/>
                <w:sz w:val="28"/>
                <w:szCs w:val="28"/>
                <w:highlight w:val="none"/>
                <w:lang w:val="en-US" w:eastAsia="zh-CN"/>
              </w:rPr>
              <w:t>小区整体照片</w:t>
            </w:r>
          </w:p>
        </w:tc>
        <w:tc>
          <w:tcPr>
            <w:tcW w:w="2121" w:type="pct"/>
            <w:tcBorders>
              <w:top w:val="single" w:color="auto" w:sz="4" w:space="0"/>
              <w:left w:val="single" w:color="auto" w:sz="4" w:space="0"/>
              <w:bottom w:val="single" w:color="auto" w:sz="4" w:space="0"/>
              <w:right w:val="single" w:color="auto" w:sz="4" w:space="0"/>
            </w:tcBorders>
            <w:vAlign w:val="center"/>
          </w:tcPr>
          <w:p w14:paraId="632F2EE9">
            <w:pPr>
              <w:jc w:val="center"/>
              <w:rPr>
                <w:rFonts w:hint="eastAsia" w:ascii="Times New Roman" w:hAnsi="Times New Roman" w:eastAsia="仿宋" w:cs="仿宋"/>
                <w:kern w:val="0"/>
                <w:sz w:val="28"/>
                <w:szCs w:val="32"/>
                <w:highlight w:val="none"/>
                <w:lang w:val="en-US" w:eastAsia="zh-CN"/>
              </w:rPr>
            </w:pPr>
            <w:r>
              <w:rPr>
                <w:rFonts w:hint="eastAsia" w:ascii="Times New Roman" w:hAnsi="Times New Roman" w:eastAsia="仿宋" w:cs="仿宋"/>
                <w:kern w:val="0"/>
                <w:sz w:val="28"/>
                <w:szCs w:val="32"/>
                <w:highlight w:val="none"/>
                <w:lang w:val="en-US" w:eastAsia="zh-CN"/>
              </w:rPr>
              <w:drawing>
                <wp:inline distT="0" distB="0" distL="114300" distR="114300">
                  <wp:extent cx="2141220" cy="2854960"/>
                  <wp:effectExtent l="0" t="0" r="17780" b="15240"/>
                  <wp:docPr id="15" name="图片 15" descr="IMG_0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IMG_0427"/>
                          <pic:cNvPicPr>
                            <a:picLocks noChangeAspect="1"/>
                          </pic:cNvPicPr>
                        </pic:nvPicPr>
                        <pic:blipFill>
                          <a:blip r:embed="rId13"/>
                          <a:stretch>
                            <a:fillRect/>
                          </a:stretch>
                        </pic:blipFill>
                        <pic:spPr>
                          <a:xfrm>
                            <a:off x="0" y="0"/>
                            <a:ext cx="2141220" cy="2854960"/>
                          </a:xfrm>
                          <a:prstGeom prst="rect">
                            <a:avLst/>
                          </a:prstGeom>
                        </pic:spPr>
                      </pic:pic>
                    </a:graphicData>
                  </a:graphic>
                </wp:inline>
              </w:drawing>
            </w:r>
          </w:p>
        </w:tc>
      </w:tr>
      <w:tr w14:paraId="53836CAF">
        <w:tc>
          <w:tcPr>
            <w:tcW w:w="5000" w:type="pct"/>
            <w:gridSpan w:val="3"/>
            <w:tcBorders>
              <w:top w:val="single" w:color="auto" w:sz="4" w:space="0"/>
              <w:left w:val="single" w:color="auto" w:sz="4" w:space="0"/>
              <w:bottom w:val="single" w:color="auto" w:sz="4" w:space="0"/>
              <w:right w:val="single" w:color="auto" w:sz="4" w:space="0"/>
            </w:tcBorders>
            <w:vAlign w:val="center"/>
          </w:tcPr>
          <w:p w14:paraId="3592E4DA">
            <w:pPr>
              <w:jc w:val="center"/>
              <w:rPr>
                <w:rFonts w:hint="eastAsia" w:ascii="Times New Roman" w:hAnsi="Times New Roman" w:eastAsia="仿宋" w:cs="仿宋"/>
                <w:kern w:val="0"/>
                <w:sz w:val="28"/>
                <w:szCs w:val="32"/>
                <w:highlight w:val="none"/>
              </w:rPr>
            </w:pPr>
            <w:r>
              <w:rPr>
                <w:rFonts w:hint="eastAsia" w:ascii="Times New Roman" w:hAnsi="Times New Roman" w:eastAsia="仿宋" w:cs="仿宋"/>
                <w:color w:val="000000"/>
                <w:kern w:val="0"/>
                <w:szCs w:val="21"/>
                <w:highlight w:val="none"/>
              </w:rPr>
              <w:drawing>
                <wp:inline distT="0" distB="0" distL="114300" distR="114300">
                  <wp:extent cx="3609340" cy="2997200"/>
                  <wp:effectExtent l="0" t="0" r="22860" b="0"/>
                  <wp:docPr id="7" name="图片 7" descr="Screenshot 2023-07-03 at 4.49.56 P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Screenshot 2023-07-03 at 4.49.56 PM"/>
                          <pic:cNvPicPr>
                            <a:picLocks noChangeAspect="1"/>
                          </pic:cNvPicPr>
                        </pic:nvPicPr>
                        <pic:blipFill>
                          <a:blip r:embed="rId14"/>
                          <a:stretch>
                            <a:fillRect/>
                          </a:stretch>
                        </pic:blipFill>
                        <pic:spPr>
                          <a:xfrm>
                            <a:off x="0" y="0"/>
                            <a:ext cx="3609340" cy="2997200"/>
                          </a:xfrm>
                          <a:prstGeom prst="rect">
                            <a:avLst/>
                          </a:prstGeom>
                        </pic:spPr>
                      </pic:pic>
                    </a:graphicData>
                  </a:graphic>
                </wp:inline>
              </w:drawing>
            </w:r>
          </w:p>
          <w:p w14:paraId="75D97012">
            <w:pPr>
              <w:jc w:val="center"/>
              <w:rPr>
                <w:rFonts w:hint="eastAsia" w:ascii="Times New Roman" w:hAnsi="Times New Roman" w:eastAsia="仿宋" w:cs="仿宋"/>
                <w:kern w:val="0"/>
                <w:sz w:val="28"/>
                <w:szCs w:val="32"/>
                <w:highlight w:val="none"/>
              </w:rPr>
            </w:pPr>
            <w:r>
              <w:rPr>
                <w:rFonts w:hint="eastAsia" w:ascii="Times New Roman" w:hAnsi="Times New Roman" w:eastAsia="仿宋_GB2312" w:cs="仿宋_GB2312"/>
                <w:b w:val="0"/>
                <w:bCs/>
                <w:sz w:val="28"/>
                <w:szCs w:val="28"/>
                <w:highlight w:val="none"/>
                <w:lang w:val="en-US" w:eastAsia="zh-CN"/>
              </w:rPr>
              <w:t>周边交通配套</w:t>
            </w:r>
          </w:p>
        </w:tc>
      </w:tr>
    </w:tbl>
    <w:p w14:paraId="37E36A85">
      <w:pPr>
        <w:widowControl/>
        <w:shd w:val="clear" w:color="auto" w:fill="FFFFFF"/>
        <w:spacing w:line="360" w:lineRule="auto"/>
        <w:ind w:firstLine="562" w:firstLineChars="200"/>
        <w:rPr>
          <w:rFonts w:ascii="仿宋" w:hAnsi="仿宋" w:eastAsia="仿宋" w:cs="仿宋"/>
          <w:kern w:val="0"/>
          <w:sz w:val="28"/>
          <w:szCs w:val="28"/>
          <w:shd w:val="clear" w:color="auto" w:fill="FFFFFF"/>
          <w:lang w:bidi="ar"/>
        </w:rPr>
      </w:pPr>
      <w:r>
        <w:rPr>
          <w:rFonts w:hint="eastAsia" w:ascii="仿宋" w:hAnsi="仿宋" w:eastAsia="仿宋" w:cs="仿宋"/>
          <w:b/>
          <w:kern w:val="0"/>
          <w:sz w:val="28"/>
          <w:szCs w:val="28"/>
          <w:shd w:val="clear" w:color="auto" w:fill="FFFFFF"/>
          <w:lang w:bidi="ar"/>
        </w:rPr>
        <w:t>详细债权信息见附件：标的资产介绍。</w:t>
      </w:r>
      <w:r>
        <w:rPr>
          <w:rFonts w:hint="eastAsia" w:ascii="仿宋" w:hAnsi="仿宋" w:eastAsia="仿宋" w:cs="仿宋"/>
          <w:kern w:val="0"/>
          <w:sz w:val="28"/>
          <w:szCs w:val="28"/>
          <w:shd w:val="clear" w:color="auto" w:fill="FFFFFF"/>
          <w:lang w:bidi="ar"/>
        </w:rPr>
        <w:t>上述信息仅供参考，具体以转让时实际情况为准。</w:t>
      </w:r>
    </w:p>
    <w:p w14:paraId="29B34F45">
      <w:pPr>
        <w:widowControl/>
        <w:shd w:val="clear" w:color="auto" w:fill="FFFFFF"/>
        <w:spacing w:line="360" w:lineRule="auto"/>
        <w:ind w:firstLine="560" w:firstLineChars="200"/>
        <w:rPr>
          <w:rFonts w:ascii="仿宋" w:hAnsi="仿宋" w:eastAsia="仿宋" w:cs="仿宋"/>
          <w:kern w:val="0"/>
          <w:sz w:val="28"/>
          <w:szCs w:val="28"/>
          <w:u w:val="single"/>
          <w:shd w:val="clear" w:color="auto" w:fill="FFFFFF"/>
          <w:lang w:bidi="ar"/>
        </w:rPr>
      </w:pPr>
      <w:r>
        <w:rPr>
          <w:rFonts w:hint="eastAsia" w:ascii="仿宋" w:hAnsi="仿宋" w:eastAsia="仿宋" w:cs="仿宋"/>
          <w:kern w:val="0"/>
          <w:sz w:val="28"/>
          <w:szCs w:val="28"/>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14:paraId="66E58AAD">
      <w:pPr>
        <w:widowControl/>
        <w:shd w:val="clear" w:color="auto" w:fill="FFFFFF"/>
        <w:spacing w:line="360" w:lineRule="auto"/>
        <w:ind w:firstLine="560" w:firstLineChars="200"/>
        <w:rPr>
          <w:rFonts w:ascii="仿宋" w:hAnsi="仿宋" w:eastAsia="仿宋" w:cs="仿宋"/>
          <w:kern w:val="0"/>
          <w:sz w:val="28"/>
          <w:szCs w:val="28"/>
          <w:u w:val="single"/>
          <w:shd w:val="clear" w:color="auto" w:fill="FFFFFF"/>
          <w:lang w:bidi="ar"/>
        </w:rPr>
      </w:pPr>
      <w:r>
        <w:rPr>
          <w:rFonts w:hint="eastAsia" w:ascii="仿宋" w:hAnsi="仿宋" w:eastAsia="仿宋" w:cs="仿宋"/>
          <w:kern w:val="0"/>
          <w:sz w:val="28"/>
          <w:szCs w:val="28"/>
          <w:u w:val="single"/>
          <w:shd w:val="clear" w:color="auto" w:fill="FFFFFF"/>
          <w:lang w:bidi="ar"/>
        </w:rPr>
        <w:t>2.若债务人、担保人因各种原因更名、改制、歇业、吊销营业执照或丧失民事主体资格的，请相关承债主体或主管部门代为履行义务或履行清算责任；</w:t>
      </w:r>
    </w:p>
    <w:p w14:paraId="1E27958A">
      <w:pPr>
        <w:widowControl/>
        <w:shd w:val="clear" w:color="auto" w:fill="FFFFFF"/>
        <w:spacing w:line="360" w:lineRule="auto"/>
        <w:ind w:firstLine="570"/>
        <w:rPr>
          <w:rFonts w:ascii="仿宋" w:hAnsi="仿宋" w:eastAsia="仿宋" w:cs="仿宋"/>
          <w:kern w:val="0"/>
          <w:sz w:val="28"/>
          <w:szCs w:val="28"/>
          <w:u w:val="single"/>
          <w:shd w:val="clear" w:color="auto" w:fill="FFFFFF"/>
          <w:lang w:bidi="ar"/>
        </w:rPr>
      </w:pPr>
      <w:r>
        <w:rPr>
          <w:rFonts w:hint="eastAsia" w:ascii="仿宋" w:hAnsi="仿宋" w:eastAsia="仿宋" w:cs="仿宋"/>
          <w:kern w:val="0"/>
          <w:sz w:val="28"/>
          <w:szCs w:val="28"/>
          <w:u w:val="single"/>
          <w:shd w:val="clear" w:color="auto" w:fill="FFFFFF"/>
          <w:lang w:bidi="ar"/>
        </w:rPr>
        <w:t>3.公告当中内容如有错漏，以债务人、担保人等原已签署的交易合同及/或生效法律文书等相关法律文件为准；</w:t>
      </w:r>
    </w:p>
    <w:p w14:paraId="25860390">
      <w:pPr>
        <w:widowControl/>
        <w:shd w:val="clear" w:color="auto" w:fill="FFFFFF"/>
        <w:spacing w:line="360" w:lineRule="auto"/>
        <w:ind w:firstLine="570"/>
        <w:rPr>
          <w:rFonts w:ascii="仿宋" w:hAnsi="仿宋" w:cs="仿宋"/>
          <w:kern w:val="0"/>
          <w:sz w:val="28"/>
          <w:szCs w:val="28"/>
          <w:u w:val="single"/>
          <w:shd w:val="clear" w:color="auto" w:fill="FFFFFF"/>
          <w:lang w:bidi="ar"/>
        </w:rPr>
      </w:pPr>
      <w:r>
        <w:rPr>
          <w:rFonts w:hint="eastAsia" w:ascii="仿宋" w:hAnsi="仿宋" w:eastAsia="仿宋" w:cs="仿宋"/>
          <w:kern w:val="0"/>
          <w:sz w:val="28"/>
          <w:szCs w:val="28"/>
          <w:u w:val="single"/>
          <w:shd w:val="clear" w:color="auto" w:fill="FFFFFF"/>
          <w:lang w:bidi="ar"/>
        </w:rPr>
        <w:t>4</w:t>
      </w:r>
      <w:r>
        <w:rPr>
          <w:rFonts w:ascii="仿宋" w:hAnsi="仿宋" w:eastAsia="仿宋" w:cs="仿宋"/>
          <w:kern w:val="0"/>
          <w:sz w:val="28"/>
          <w:szCs w:val="28"/>
          <w:u w:val="single"/>
          <w:shd w:val="clear" w:color="auto" w:fill="FFFFFF"/>
          <w:lang w:bidi="ar"/>
        </w:rPr>
        <w:t>.</w:t>
      </w:r>
      <w:r>
        <w:rPr>
          <w:rFonts w:hint="eastAsia" w:ascii="仿宋" w:hAnsi="仿宋" w:eastAsia="仿宋" w:cs="仿宋"/>
          <w:kern w:val="0"/>
          <w:sz w:val="28"/>
          <w:szCs w:val="28"/>
          <w:u w:val="single"/>
          <w:shd w:val="clear" w:color="auto" w:fill="FFFFFF"/>
          <w:lang w:bidi="ar"/>
        </w:rPr>
        <w:t>如对公告内容存在异议请在公告期内向广州资产管理有限公司提出。</w:t>
      </w:r>
    </w:p>
    <w:p w14:paraId="786D833D">
      <w:pPr>
        <w:widowControl/>
        <w:shd w:val="clear" w:color="auto" w:fill="FFFFFF"/>
        <w:spacing w:line="360" w:lineRule="auto"/>
        <w:ind w:firstLine="562" w:firstLineChars="200"/>
        <w:jc w:val="left"/>
        <w:outlineLvl w:val="2"/>
        <w:rPr>
          <w:rFonts w:ascii="仿宋" w:hAnsi="仿宋" w:eastAsia="仿宋" w:cs="仿宋"/>
          <w:b/>
          <w:bCs/>
          <w:kern w:val="0"/>
          <w:sz w:val="28"/>
          <w:szCs w:val="28"/>
          <w:shd w:val="clear" w:color="auto" w:fill="FFFFFF"/>
          <w:lang w:bidi="ar"/>
        </w:rPr>
      </w:pPr>
      <w:r>
        <w:rPr>
          <w:rFonts w:hint="eastAsia" w:ascii="仿宋" w:hAnsi="仿宋" w:eastAsia="仿宋" w:cs="仿宋"/>
          <w:b/>
          <w:bCs/>
          <w:kern w:val="0"/>
          <w:sz w:val="28"/>
          <w:szCs w:val="28"/>
          <w:shd w:val="clear" w:color="auto" w:fill="FFFFFF"/>
          <w:lang w:bidi="ar"/>
        </w:rPr>
        <w:t>（二）竞价事项</w:t>
      </w:r>
    </w:p>
    <w:p w14:paraId="6C8055B1">
      <w:pPr>
        <w:widowControl/>
        <w:shd w:val="clear" w:color="auto" w:fill="FFFFFF"/>
        <w:spacing w:line="360" w:lineRule="auto"/>
        <w:ind w:firstLine="562" w:firstLineChars="200"/>
        <w:rPr>
          <w:rFonts w:ascii="仿宋" w:hAnsi="仿宋" w:eastAsia="仿宋" w:cs="仿宋"/>
          <w:sz w:val="28"/>
          <w:szCs w:val="28"/>
        </w:rPr>
      </w:pPr>
      <w:r>
        <w:rPr>
          <w:rFonts w:hint="eastAsia" w:ascii="仿宋" w:hAnsi="仿宋" w:eastAsia="仿宋" w:cs="仿宋"/>
          <w:b/>
          <w:kern w:val="0"/>
          <w:sz w:val="28"/>
          <w:szCs w:val="28"/>
          <w:shd w:val="clear" w:color="auto" w:fill="FFFFFF"/>
          <w:lang w:bidi="ar"/>
        </w:rPr>
        <w:t>竞买起拍价：【</w:t>
      </w:r>
      <w:r>
        <w:rPr>
          <w:rFonts w:hint="eastAsia" w:ascii="仿宋" w:hAnsi="仿宋" w:eastAsia="仿宋"/>
          <w:b/>
          <w:kern w:val="0"/>
          <w:sz w:val="28"/>
          <w:szCs w:val="28"/>
          <w:shd w:val="clear" w:color="auto" w:fill="FFFFFF"/>
          <w:lang w:val="en-US" w:eastAsia="zh-CN"/>
        </w:rPr>
        <w:t>14</w:t>
      </w:r>
      <w:r>
        <w:rPr>
          <w:rFonts w:hint="default" w:ascii="仿宋" w:hAnsi="仿宋" w:eastAsia="仿宋"/>
          <w:b/>
          <w:kern w:val="0"/>
          <w:sz w:val="28"/>
          <w:szCs w:val="28"/>
          <w:shd w:val="clear" w:color="auto" w:fill="FFFFFF"/>
          <w:lang w:val="en-US" w:eastAsia="zh-CN"/>
        </w:rPr>
        <w:t>,</w:t>
      </w:r>
      <w:r>
        <w:rPr>
          <w:rFonts w:hint="eastAsia" w:ascii="仿宋" w:hAnsi="仿宋" w:eastAsia="仿宋"/>
          <w:b/>
          <w:kern w:val="0"/>
          <w:sz w:val="28"/>
          <w:szCs w:val="28"/>
          <w:shd w:val="clear" w:color="auto" w:fill="FFFFFF"/>
          <w:lang w:val="en-US" w:eastAsia="zh-CN"/>
        </w:rPr>
        <w:t>560.00</w:t>
      </w:r>
      <w:r>
        <w:rPr>
          <w:rFonts w:hint="eastAsia" w:ascii="仿宋" w:hAnsi="仿宋" w:eastAsia="仿宋" w:cs="仿宋"/>
          <w:b/>
          <w:kern w:val="0"/>
          <w:sz w:val="28"/>
          <w:szCs w:val="28"/>
          <w:shd w:val="clear" w:color="auto" w:fill="FFFFFF"/>
          <w:lang w:bidi="ar"/>
        </w:rPr>
        <w:t>】</w:t>
      </w:r>
      <w:r>
        <w:rPr>
          <w:rFonts w:hint="eastAsia" w:ascii="仿宋" w:hAnsi="仿宋" w:eastAsia="仿宋" w:cs="仿宋"/>
          <w:b/>
          <w:kern w:val="0"/>
          <w:sz w:val="28"/>
          <w:szCs w:val="28"/>
          <w:shd w:val="clear" w:color="auto" w:fill="FFFFFF"/>
          <w:lang w:val="en-US" w:eastAsia="zh-CN" w:bidi="ar"/>
        </w:rPr>
        <w:t>万</w:t>
      </w:r>
      <w:r>
        <w:rPr>
          <w:rFonts w:hint="eastAsia" w:ascii="仿宋" w:hAnsi="仿宋" w:eastAsia="仿宋" w:cs="仿宋"/>
          <w:b/>
          <w:kern w:val="0"/>
          <w:sz w:val="28"/>
          <w:szCs w:val="28"/>
          <w:shd w:val="clear" w:color="auto" w:fill="FFFFFF"/>
          <w:lang w:bidi="ar"/>
        </w:rPr>
        <w:t>元，保证金：【</w:t>
      </w:r>
      <w:r>
        <w:rPr>
          <w:rFonts w:hint="eastAsia" w:ascii="仿宋" w:hAnsi="仿宋" w:eastAsia="仿宋"/>
          <w:b/>
          <w:kern w:val="0"/>
          <w:sz w:val="28"/>
          <w:szCs w:val="28"/>
          <w:shd w:val="clear" w:color="auto" w:fill="FFFFFF"/>
          <w:lang w:val="en-US" w:eastAsia="zh-CN"/>
        </w:rPr>
        <w:t>1</w:t>
      </w:r>
      <w:r>
        <w:rPr>
          <w:rFonts w:hint="default" w:ascii="仿宋" w:hAnsi="仿宋" w:eastAsia="仿宋"/>
          <w:b/>
          <w:kern w:val="0"/>
          <w:sz w:val="28"/>
          <w:szCs w:val="28"/>
          <w:shd w:val="clear" w:color="auto" w:fill="FFFFFF"/>
          <w:lang w:val="en-US" w:eastAsia="zh-CN"/>
        </w:rPr>
        <w:t>,</w:t>
      </w:r>
      <w:r>
        <w:rPr>
          <w:rFonts w:hint="eastAsia" w:ascii="仿宋" w:hAnsi="仿宋" w:eastAsia="仿宋"/>
          <w:b/>
          <w:kern w:val="0"/>
          <w:sz w:val="28"/>
          <w:szCs w:val="28"/>
          <w:shd w:val="clear" w:color="auto" w:fill="FFFFFF"/>
          <w:lang w:val="en-US" w:eastAsia="zh-CN"/>
        </w:rPr>
        <w:t>456.00</w:t>
      </w:r>
      <w:r>
        <w:rPr>
          <w:rFonts w:hint="eastAsia" w:ascii="仿宋" w:hAnsi="仿宋" w:eastAsia="仿宋" w:cs="仿宋"/>
          <w:b/>
          <w:kern w:val="0"/>
          <w:sz w:val="28"/>
          <w:szCs w:val="28"/>
          <w:shd w:val="clear" w:color="auto" w:fill="FFFFFF"/>
          <w:lang w:bidi="ar"/>
        </w:rPr>
        <w:t>】</w:t>
      </w:r>
      <w:r>
        <w:rPr>
          <w:rFonts w:hint="eastAsia" w:ascii="仿宋" w:hAnsi="仿宋" w:eastAsia="仿宋" w:cs="仿宋"/>
          <w:b/>
          <w:kern w:val="0"/>
          <w:sz w:val="28"/>
          <w:szCs w:val="28"/>
          <w:shd w:val="clear" w:color="auto" w:fill="FFFFFF"/>
          <w:lang w:val="en-US" w:eastAsia="zh-CN" w:bidi="ar"/>
        </w:rPr>
        <w:t>万</w:t>
      </w:r>
      <w:r>
        <w:rPr>
          <w:rFonts w:hint="eastAsia" w:ascii="仿宋" w:hAnsi="仿宋" w:eastAsia="仿宋" w:cs="仿宋"/>
          <w:b/>
          <w:kern w:val="0"/>
          <w:sz w:val="28"/>
          <w:szCs w:val="28"/>
          <w:shd w:val="clear" w:color="auto" w:fill="FFFFFF"/>
          <w:lang w:bidi="ar"/>
        </w:rPr>
        <w:t>元</w:t>
      </w:r>
      <w:r>
        <w:rPr>
          <w:rFonts w:hint="eastAsia" w:ascii="仿宋" w:hAnsi="仿宋" w:eastAsia="仿宋" w:cs="仿宋"/>
          <w:b/>
          <w:kern w:val="0"/>
          <w:sz w:val="28"/>
          <w:szCs w:val="28"/>
          <w:shd w:val="clear" w:color="auto" w:fill="FFFFFF"/>
          <w:lang w:eastAsia="zh-CN" w:bidi="ar"/>
        </w:rPr>
        <w:t>，</w:t>
      </w:r>
      <w:r>
        <w:rPr>
          <w:rFonts w:hint="eastAsia" w:ascii="仿宋" w:hAnsi="仿宋" w:eastAsia="仿宋" w:cs="仿宋"/>
          <w:b/>
          <w:kern w:val="0"/>
          <w:sz w:val="28"/>
          <w:szCs w:val="28"/>
          <w:highlight w:val="none"/>
          <w:shd w:val="clear" w:color="auto" w:fill="FFFFFF"/>
          <w:lang w:bidi="ar"/>
        </w:rPr>
        <w:t>增价幅度：【</w:t>
      </w:r>
      <w:r>
        <w:rPr>
          <w:rFonts w:hint="eastAsia" w:ascii="仿宋" w:hAnsi="仿宋" w:eastAsia="仿宋"/>
          <w:b/>
          <w:kern w:val="0"/>
          <w:sz w:val="28"/>
          <w:szCs w:val="28"/>
          <w:highlight w:val="none"/>
          <w:shd w:val="clear" w:color="auto" w:fill="FFFFFF"/>
          <w:lang w:val="en-US" w:eastAsia="zh-CN"/>
        </w:rPr>
        <w:t>50</w:t>
      </w:r>
      <w:r>
        <w:rPr>
          <w:rFonts w:hint="eastAsia" w:ascii="仿宋" w:hAnsi="仿宋" w:eastAsia="仿宋" w:cs="仿宋"/>
          <w:b/>
          <w:kern w:val="0"/>
          <w:sz w:val="28"/>
          <w:szCs w:val="28"/>
          <w:highlight w:val="none"/>
          <w:shd w:val="clear" w:color="auto" w:fill="FFFFFF"/>
          <w:lang w:bidi="ar"/>
        </w:rPr>
        <w:t>】</w:t>
      </w:r>
      <w:r>
        <w:rPr>
          <w:rFonts w:hint="eastAsia" w:ascii="仿宋" w:hAnsi="仿宋" w:eastAsia="仿宋" w:cs="仿宋"/>
          <w:b/>
          <w:kern w:val="0"/>
          <w:sz w:val="28"/>
          <w:szCs w:val="28"/>
          <w:highlight w:val="none"/>
          <w:shd w:val="clear" w:color="auto" w:fill="FFFFFF"/>
          <w:lang w:val="en-US" w:eastAsia="zh-CN" w:bidi="ar"/>
        </w:rPr>
        <w:t>万</w:t>
      </w:r>
      <w:r>
        <w:rPr>
          <w:rFonts w:hint="eastAsia" w:ascii="仿宋" w:hAnsi="仿宋" w:eastAsia="仿宋" w:cs="仿宋"/>
          <w:b/>
          <w:kern w:val="0"/>
          <w:sz w:val="28"/>
          <w:szCs w:val="28"/>
          <w:highlight w:val="none"/>
          <w:shd w:val="clear" w:color="auto" w:fill="FFFFFF"/>
          <w:lang w:bidi="ar"/>
        </w:rPr>
        <w:t>元及其整数倍数。</w:t>
      </w:r>
      <w:r>
        <w:rPr>
          <w:rFonts w:hint="eastAsia" w:ascii="仿宋" w:hAnsi="仿宋" w:eastAsia="仿宋" w:cs="仿宋"/>
          <w:sz w:val="28"/>
          <w:szCs w:val="28"/>
        </w:rPr>
        <w:t>本次拍卖为设有保留底价的增价拍卖，一人或一人以上报名出价且出价不低于保留底价即为有效。若只有一人报名且出价达到保留价的或有多人报名但仅有一人出价并达到保留价的，需补登公告，公告3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14:paraId="555F961A">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sz w:val="28"/>
          <w:szCs w:val="28"/>
        </w:rPr>
        <w:t>拍卖结束时出价最高的竞价人则竞买成功。本次竞价活动设置延时出价功能，在竞价活动结束前，每最后5分钟如果有竞买人出价，就自动延迟5分钟。</w:t>
      </w:r>
    </w:p>
    <w:p w14:paraId="42780AB8">
      <w:pPr>
        <w:widowControl/>
        <w:shd w:val="clear" w:color="auto" w:fill="FFFFFF"/>
        <w:spacing w:line="360" w:lineRule="auto"/>
        <w:ind w:firstLine="562" w:firstLineChars="200"/>
        <w:jc w:val="left"/>
        <w:outlineLvl w:val="2"/>
        <w:rPr>
          <w:rFonts w:ascii="仿宋" w:hAnsi="仿宋" w:eastAsia="仿宋" w:cs="仿宋"/>
          <w:b/>
          <w:bCs/>
          <w:kern w:val="0"/>
          <w:sz w:val="28"/>
          <w:szCs w:val="28"/>
          <w:shd w:val="clear" w:color="auto" w:fill="FFFFFF"/>
          <w:lang w:bidi="ar"/>
        </w:rPr>
      </w:pPr>
      <w:r>
        <w:rPr>
          <w:rFonts w:hint="eastAsia" w:ascii="仿宋" w:hAnsi="仿宋" w:eastAsia="仿宋" w:cs="仿宋"/>
          <w:b/>
          <w:bCs/>
          <w:kern w:val="0"/>
          <w:sz w:val="28"/>
          <w:szCs w:val="28"/>
          <w:shd w:val="clear" w:color="auto" w:fill="FFFFFF"/>
          <w:lang w:bidi="ar"/>
        </w:rPr>
        <w:t>（三）</w:t>
      </w:r>
      <w:r>
        <w:rPr>
          <w:rFonts w:ascii="仿宋" w:hAnsi="仿宋" w:eastAsia="仿宋" w:cs="仿宋"/>
          <w:b/>
          <w:bCs/>
          <w:kern w:val="0"/>
          <w:sz w:val="28"/>
          <w:szCs w:val="28"/>
          <w:shd w:val="clear" w:color="auto" w:fill="FFFFFF"/>
          <w:lang w:bidi="ar"/>
        </w:rPr>
        <w:t>保证金规则</w:t>
      </w:r>
    </w:p>
    <w:p w14:paraId="227A2824">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1</w:t>
      </w:r>
      <w:r>
        <w:rPr>
          <w:rFonts w:hint="default" w:ascii="仿宋" w:hAnsi="仿宋" w:eastAsia="仿宋" w:cs="仿宋"/>
          <w:kern w:val="0"/>
          <w:sz w:val="28"/>
          <w:szCs w:val="28"/>
          <w:shd w:val="clear" w:color="auto" w:fill="FFFFFF"/>
          <w:lang w:val="en-US" w:bidi="ar"/>
        </w:rPr>
        <w:t>.</w:t>
      </w:r>
      <w:r>
        <w:rPr>
          <w:rFonts w:hint="eastAsia" w:ascii="仿宋" w:hAnsi="仿宋" w:eastAsia="仿宋" w:cs="仿宋"/>
          <w:kern w:val="0"/>
          <w:sz w:val="28"/>
          <w:szCs w:val="28"/>
          <w:shd w:val="clear" w:color="auto" w:fill="FFFFFF"/>
          <w:lang w:bidi="ar"/>
        </w:rPr>
        <w:t>保证金需在</w:t>
      </w:r>
      <w:r>
        <w:rPr>
          <w:rFonts w:hint="eastAsia" w:ascii="仿宋" w:hAnsi="仿宋" w:eastAsia="仿宋" w:cs="仿宋"/>
          <w:kern w:val="0"/>
          <w:sz w:val="28"/>
          <w:szCs w:val="28"/>
          <w:highlight w:val="none"/>
          <w:shd w:val="clear" w:color="auto" w:fill="FFFFFF"/>
          <w:lang w:bidi="ar"/>
        </w:rPr>
        <w:t>20</w:t>
      </w:r>
      <w:r>
        <w:rPr>
          <w:rFonts w:ascii="仿宋" w:hAnsi="仿宋" w:eastAsia="仿宋" w:cs="仿宋"/>
          <w:kern w:val="0"/>
          <w:sz w:val="28"/>
          <w:szCs w:val="28"/>
          <w:highlight w:val="none"/>
          <w:shd w:val="clear" w:color="auto" w:fill="FFFFFF"/>
          <w:lang w:bidi="ar"/>
        </w:rPr>
        <w:t>2</w:t>
      </w:r>
      <w:r>
        <w:rPr>
          <w:rFonts w:hint="eastAsia" w:ascii="仿宋" w:hAnsi="仿宋" w:eastAsia="仿宋" w:cs="仿宋"/>
          <w:kern w:val="0"/>
          <w:sz w:val="28"/>
          <w:szCs w:val="28"/>
          <w:highlight w:val="none"/>
          <w:shd w:val="clear" w:color="auto" w:fill="FFFFFF"/>
          <w:lang w:val="en-US" w:eastAsia="zh-CN" w:bidi="ar"/>
        </w:rPr>
        <w:t>5</w:t>
      </w:r>
      <w:r>
        <w:rPr>
          <w:rFonts w:hint="eastAsia" w:ascii="仿宋" w:hAnsi="仿宋" w:eastAsia="仿宋" w:cs="仿宋"/>
          <w:kern w:val="0"/>
          <w:sz w:val="28"/>
          <w:szCs w:val="28"/>
          <w:highlight w:val="none"/>
          <w:shd w:val="clear" w:color="auto" w:fill="FFFFFF"/>
          <w:lang w:bidi="ar"/>
        </w:rPr>
        <w:t>年</w:t>
      </w:r>
      <w:r>
        <w:rPr>
          <w:rFonts w:hint="eastAsia" w:ascii="仿宋" w:hAnsi="仿宋" w:eastAsia="仿宋" w:cs="仿宋"/>
          <w:kern w:val="0"/>
          <w:sz w:val="28"/>
          <w:szCs w:val="28"/>
          <w:highlight w:val="none"/>
          <w:shd w:val="clear" w:color="auto" w:fill="FFFFFF"/>
          <w:lang w:val="en-US" w:eastAsia="zh-CN" w:bidi="ar"/>
        </w:rPr>
        <w:t>11</w:t>
      </w:r>
      <w:r>
        <w:rPr>
          <w:rFonts w:hint="eastAsia" w:ascii="仿宋" w:hAnsi="仿宋" w:eastAsia="仿宋" w:cs="仿宋"/>
          <w:kern w:val="0"/>
          <w:sz w:val="28"/>
          <w:szCs w:val="28"/>
          <w:highlight w:val="none"/>
          <w:shd w:val="clear" w:color="auto" w:fill="FFFFFF"/>
          <w:lang w:bidi="ar"/>
        </w:rPr>
        <w:t>月</w:t>
      </w:r>
      <w:r>
        <w:rPr>
          <w:rFonts w:hint="eastAsia" w:ascii="仿宋" w:hAnsi="仿宋" w:eastAsia="仿宋" w:cs="仿宋"/>
          <w:kern w:val="0"/>
          <w:sz w:val="28"/>
          <w:szCs w:val="28"/>
          <w:highlight w:val="none"/>
          <w:shd w:val="clear" w:color="auto" w:fill="FFFFFF"/>
          <w:lang w:val="en-US" w:eastAsia="zh-CN" w:bidi="ar"/>
        </w:rPr>
        <w:t>23</w:t>
      </w:r>
      <w:r>
        <w:rPr>
          <w:rFonts w:hint="eastAsia" w:ascii="仿宋" w:hAnsi="仿宋" w:eastAsia="仿宋" w:cs="仿宋"/>
          <w:kern w:val="0"/>
          <w:sz w:val="28"/>
          <w:szCs w:val="28"/>
          <w:highlight w:val="none"/>
          <w:shd w:val="clear" w:color="auto" w:fill="FFFFFF"/>
          <w:lang w:bidi="ar"/>
        </w:rPr>
        <w:t>日</w:t>
      </w:r>
      <w:r>
        <w:rPr>
          <w:rFonts w:hint="eastAsia" w:ascii="仿宋" w:hAnsi="仿宋" w:eastAsia="仿宋" w:cs="仿宋"/>
          <w:kern w:val="0"/>
          <w:sz w:val="28"/>
          <w:szCs w:val="28"/>
          <w:highlight w:val="none"/>
          <w:shd w:val="clear" w:color="auto" w:fill="FFFFFF"/>
          <w:lang w:val="en-US" w:eastAsia="zh-CN" w:bidi="ar"/>
        </w:rPr>
        <w:t>17</w:t>
      </w:r>
      <w:r>
        <w:rPr>
          <w:rFonts w:hint="eastAsia" w:ascii="仿宋" w:hAnsi="仿宋" w:eastAsia="仿宋" w:cs="仿宋"/>
          <w:kern w:val="0"/>
          <w:sz w:val="28"/>
          <w:szCs w:val="28"/>
          <w:highlight w:val="none"/>
          <w:shd w:val="clear" w:color="auto" w:fill="FFFFFF"/>
          <w:lang w:bidi="ar"/>
        </w:rPr>
        <w:t>时（为确保及时到账及查验,建议提前于20</w:t>
      </w:r>
      <w:r>
        <w:rPr>
          <w:rFonts w:ascii="仿宋" w:hAnsi="仿宋" w:eastAsia="仿宋" w:cs="仿宋"/>
          <w:kern w:val="0"/>
          <w:sz w:val="28"/>
          <w:szCs w:val="28"/>
          <w:highlight w:val="none"/>
          <w:shd w:val="clear" w:color="auto" w:fill="FFFFFF"/>
          <w:lang w:bidi="ar"/>
        </w:rPr>
        <w:t>2</w:t>
      </w:r>
      <w:r>
        <w:rPr>
          <w:rFonts w:hint="eastAsia" w:ascii="仿宋" w:hAnsi="仿宋" w:eastAsia="仿宋" w:cs="仿宋"/>
          <w:kern w:val="0"/>
          <w:sz w:val="28"/>
          <w:szCs w:val="28"/>
          <w:highlight w:val="none"/>
          <w:shd w:val="clear" w:color="auto" w:fill="FFFFFF"/>
          <w:lang w:val="en-US" w:eastAsia="zh-CN" w:bidi="ar"/>
        </w:rPr>
        <w:t>5</w:t>
      </w:r>
      <w:r>
        <w:rPr>
          <w:rFonts w:hint="eastAsia" w:ascii="仿宋" w:hAnsi="仿宋" w:eastAsia="仿宋" w:cs="仿宋"/>
          <w:kern w:val="0"/>
          <w:sz w:val="28"/>
          <w:szCs w:val="28"/>
          <w:highlight w:val="none"/>
          <w:shd w:val="clear" w:color="auto" w:fill="FFFFFF"/>
          <w:lang w:bidi="ar"/>
        </w:rPr>
        <w:t>年</w:t>
      </w:r>
      <w:r>
        <w:rPr>
          <w:rFonts w:hint="eastAsia" w:ascii="仿宋" w:hAnsi="仿宋" w:eastAsia="仿宋" w:cs="仿宋"/>
          <w:kern w:val="0"/>
          <w:sz w:val="28"/>
          <w:szCs w:val="28"/>
          <w:highlight w:val="none"/>
          <w:shd w:val="clear" w:color="auto" w:fill="FFFFFF"/>
          <w:lang w:val="en-US" w:eastAsia="zh-CN" w:bidi="ar"/>
        </w:rPr>
        <w:t>11</w:t>
      </w:r>
      <w:r>
        <w:rPr>
          <w:rFonts w:hint="eastAsia" w:ascii="仿宋" w:hAnsi="仿宋" w:eastAsia="仿宋" w:cs="仿宋"/>
          <w:kern w:val="0"/>
          <w:sz w:val="28"/>
          <w:szCs w:val="28"/>
          <w:highlight w:val="none"/>
          <w:shd w:val="clear" w:color="auto" w:fill="FFFFFF"/>
          <w:lang w:bidi="ar"/>
        </w:rPr>
        <w:t>月</w:t>
      </w:r>
      <w:r>
        <w:rPr>
          <w:rFonts w:hint="eastAsia" w:ascii="仿宋" w:hAnsi="仿宋" w:eastAsia="仿宋" w:cs="仿宋"/>
          <w:kern w:val="0"/>
          <w:sz w:val="28"/>
          <w:szCs w:val="28"/>
          <w:highlight w:val="none"/>
          <w:shd w:val="clear" w:color="auto" w:fill="FFFFFF"/>
          <w:lang w:val="en-US" w:eastAsia="zh-CN" w:bidi="ar"/>
        </w:rPr>
        <w:t>22</w:t>
      </w:r>
      <w:r>
        <w:rPr>
          <w:rFonts w:hint="eastAsia" w:ascii="仿宋" w:hAnsi="仿宋" w:eastAsia="仿宋" w:cs="仿宋"/>
          <w:kern w:val="0"/>
          <w:sz w:val="28"/>
          <w:szCs w:val="28"/>
          <w:highlight w:val="none"/>
          <w:shd w:val="clear" w:color="auto" w:fill="FFFFFF"/>
          <w:lang w:bidi="ar"/>
        </w:rPr>
        <w:t>日</w:t>
      </w:r>
      <w:r>
        <w:rPr>
          <w:rFonts w:hint="eastAsia" w:ascii="仿宋" w:hAnsi="仿宋" w:eastAsia="仿宋" w:cs="仿宋"/>
          <w:kern w:val="0"/>
          <w:sz w:val="28"/>
          <w:szCs w:val="28"/>
          <w:highlight w:val="none"/>
          <w:shd w:val="clear" w:color="auto" w:fill="FFFFFF"/>
          <w:lang w:val="en-US" w:eastAsia="zh-CN" w:bidi="ar"/>
        </w:rPr>
        <w:t>17</w:t>
      </w:r>
      <w:r>
        <w:rPr>
          <w:rFonts w:hint="eastAsia" w:ascii="仿宋" w:hAnsi="仿宋" w:eastAsia="仿宋" w:cs="仿宋"/>
          <w:kern w:val="0"/>
          <w:sz w:val="28"/>
          <w:szCs w:val="28"/>
          <w:highlight w:val="none"/>
          <w:shd w:val="clear" w:color="auto" w:fill="FFFFFF"/>
          <w:lang w:bidi="ar"/>
        </w:rPr>
        <w:t>时前完成操作。</w:t>
      </w:r>
      <w:r>
        <w:rPr>
          <w:rFonts w:hint="eastAsia" w:ascii="仿宋" w:hAnsi="仿宋" w:eastAsia="仿宋" w:cs="仿宋"/>
          <w:kern w:val="0"/>
          <w:sz w:val="28"/>
          <w:szCs w:val="28"/>
          <w:shd w:val="clear" w:color="auto" w:fill="FFFFFF"/>
          <w:lang w:bidi="ar"/>
        </w:rPr>
        <w:t>若超出建议时间导致无法查验到账和确认意向竞买人资格，后果由意向方自负）前缴入以下指定账户（户名：广州资产管理有限公司，开户银行：中国建设银行股份有限公司广州西塔支行，账号：44050158004809000288）。竞价成交的，标的资产竞得者缴纳的保证金将转化为履约保证金或部分成交价款；竞价未成交或未竞得标的资产的，竞买人缴纳的保证金将在十个工作日内按原路径退还，期间不计利息。</w:t>
      </w:r>
    </w:p>
    <w:p w14:paraId="6347A49B">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ascii="仿宋" w:hAnsi="仿宋" w:eastAsia="仿宋" w:cs="仿宋"/>
          <w:kern w:val="0"/>
          <w:sz w:val="28"/>
          <w:szCs w:val="28"/>
          <w:shd w:val="clear" w:color="auto" w:fill="FFFFFF"/>
          <w:lang w:bidi="ar"/>
        </w:rPr>
        <w:t>2</w:t>
      </w:r>
      <w:r>
        <w:rPr>
          <w:rFonts w:hint="default" w:ascii="仿宋" w:hAnsi="仿宋" w:eastAsia="仿宋" w:cs="仿宋"/>
          <w:kern w:val="0"/>
          <w:sz w:val="28"/>
          <w:szCs w:val="28"/>
          <w:shd w:val="clear" w:color="auto" w:fill="FFFFFF"/>
          <w:lang w:val="en-US" w:bidi="ar"/>
        </w:rPr>
        <w:t>.</w:t>
      </w:r>
      <w:r>
        <w:rPr>
          <w:rFonts w:hint="eastAsia" w:ascii="仿宋" w:hAnsi="仿宋" w:eastAsia="仿宋" w:cs="仿宋"/>
          <w:b/>
          <w:kern w:val="0"/>
          <w:sz w:val="28"/>
          <w:szCs w:val="28"/>
          <w:shd w:val="clear" w:color="auto" w:fill="FFFFFF"/>
          <w:lang w:bidi="ar"/>
        </w:rPr>
        <w:t>下列情况，竞买人缴纳的保证金不予退还，</w:t>
      </w:r>
      <w:r>
        <w:rPr>
          <w:rFonts w:hint="eastAsia" w:ascii="仿宋" w:hAnsi="仿宋" w:eastAsia="仿宋" w:cs="仿宋"/>
          <w:kern w:val="0"/>
          <w:sz w:val="28"/>
          <w:szCs w:val="28"/>
          <w:shd w:val="clear" w:color="auto" w:fill="FFFFFF"/>
          <w:lang w:bidi="ar"/>
        </w:rPr>
        <w:t>归广州资产管理有限公司所有</w:t>
      </w:r>
      <w:r>
        <w:rPr>
          <w:rFonts w:hint="eastAsia" w:ascii="仿宋" w:hAnsi="仿宋" w:eastAsia="仿宋" w:cs="仿宋"/>
          <w:sz w:val="28"/>
          <w:szCs w:val="28"/>
          <w:shd w:val="clear" w:color="auto" w:fill="FFFFFF"/>
          <w:lang w:bidi="ar"/>
        </w:rPr>
        <w:t>，且广州资产管理有限公司可对标的资产重新处置</w:t>
      </w:r>
      <w:r>
        <w:rPr>
          <w:rFonts w:hint="eastAsia" w:ascii="仿宋" w:hAnsi="仿宋" w:eastAsia="仿宋" w:cs="仿宋"/>
          <w:kern w:val="0"/>
          <w:sz w:val="28"/>
          <w:szCs w:val="28"/>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pPr>
        <w:widowControl/>
        <w:shd w:val="clear" w:color="auto" w:fill="FFFFFF"/>
        <w:spacing w:line="360" w:lineRule="auto"/>
        <w:ind w:firstLine="562" w:firstLineChars="200"/>
        <w:jc w:val="left"/>
        <w:outlineLvl w:val="2"/>
        <w:rPr>
          <w:rFonts w:ascii="仿宋" w:hAnsi="仿宋" w:eastAsia="仿宋" w:cs="仿宋"/>
          <w:b/>
          <w:bCs/>
          <w:kern w:val="0"/>
          <w:sz w:val="28"/>
          <w:szCs w:val="28"/>
          <w:shd w:val="clear" w:color="auto" w:fill="FFFFFF"/>
          <w:lang w:bidi="ar"/>
        </w:rPr>
      </w:pPr>
      <w:r>
        <w:rPr>
          <w:rFonts w:hint="eastAsia" w:ascii="仿宋" w:hAnsi="仿宋" w:eastAsia="仿宋" w:cs="仿宋"/>
          <w:b/>
          <w:bCs/>
          <w:kern w:val="0"/>
          <w:sz w:val="28"/>
          <w:szCs w:val="28"/>
          <w:shd w:val="clear" w:color="auto" w:fill="FFFFFF"/>
          <w:lang w:bidi="ar"/>
        </w:rPr>
        <w:t>（四）交易成交及付款期限</w:t>
      </w:r>
    </w:p>
    <w:p w14:paraId="3FA6828F">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竞买人自竞价成交之时起成为买受人。标的资产竞得者须承担平台交易费用等相关因交易而产生费用。</w:t>
      </w:r>
    </w:p>
    <w:p w14:paraId="1021BC86">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标的资产竞得者需按照以下规定签署《债权转让协议》，逾期则视为买受人违约，竞价保证金不予退还：（1）两人及以上参加竞价的，于标的资产竞价成交之日起【</w:t>
      </w:r>
      <w:r>
        <w:rPr>
          <w:rFonts w:hint="eastAsia" w:ascii="仿宋" w:hAnsi="仿宋" w:eastAsia="仿宋" w:cs="仿宋"/>
          <w:kern w:val="0"/>
          <w:sz w:val="28"/>
          <w:szCs w:val="28"/>
          <w:shd w:val="clear" w:color="auto" w:fill="FFFFFF"/>
          <w:lang w:val="en-US" w:eastAsia="zh-CN" w:bidi="ar"/>
        </w:rPr>
        <w:t>3</w:t>
      </w:r>
      <w:r>
        <w:rPr>
          <w:rFonts w:hint="eastAsia" w:ascii="仿宋" w:hAnsi="仿宋" w:eastAsia="仿宋" w:cs="仿宋"/>
          <w:kern w:val="0"/>
          <w:sz w:val="28"/>
          <w:szCs w:val="28"/>
          <w:shd w:val="clear" w:color="auto" w:fill="FFFFFF"/>
          <w:lang w:bidi="ar"/>
        </w:rPr>
        <w:t>】个工作日内正式签署《债权转让协议》；（2）仅一人参加竞价，竞价补登公告后没有新的竞价者参与竞价，于补登竞价公告期满之日起【</w:t>
      </w:r>
      <w:r>
        <w:rPr>
          <w:rFonts w:hint="eastAsia" w:ascii="仿宋" w:hAnsi="仿宋" w:eastAsia="仿宋" w:cs="仿宋"/>
          <w:kern w:val="0"/>
          <w:sz w:val="28"/>
          <w:szCs w:val="28"/>
          <w:shd w:val="clear" w:color="auto" w:fill="FFFFFF"/>
          <w:lang w:val="en-US" w:eastAsia="zh-CN" w:bidi="ar"/>
        </w:rPr>
        <w:t>3</w:t>
      </w:r>
      <w:r>
        <w:rPr>
          <w:rFonts w:hint="eastAsia" w:ascii="仿宋" w:hAnsi="仿宋" w:eastAsia="仿宋" w:cs="仿宋"/>
          <w:kern w:val="0"/>
          <w:sz w:val="28"/>
          <w:szCs w:val="28"/>
          <w:shd w:val="clear" w:color="auto" w:fill="FFFFFF"/>
          <w:lang w:bidi="ar"/>
        </w:rPr>
        <w:t>】个工作日内正式签署《债权转让协议》；（3）仅一人参加竞价，竞价补登公告后有新的竞价者参与竞价，于标的资产第二次竞价成交之日起【</w:t>
      </w:r>
      <w:r>
        <w:rPr>
          <w:rFonts w:hint="eastAsia" w:ascii="仿宋" w:hAnsi="仿宋" w:eastAsia="仿宋" w:cs="仿宋"/>
          <w:kern w:val="0"/>
          <w:sz w:val="28"/>
          <w:szCs w:val="28"/>
          <w:shd w:val="clear" w:color="auto" w:fill="FFFFFF"/>
          <w:lang w:val="en-US" w:eastAsia="zh-CN" w:bidi="ar"/>
        </w:rPr>
        <w:t>3</w:t>
      </w:r>
      <w:r>
        <w:rPr>
          <w:rFonts w:hint="eastAsia" w:ascii="仿宋" w:hAnsi="仿宋" w:eastAsia="仿宋" w:cs="仿宋"/>
          <w:kern w:val="0"/>
          <w:sz w:val="28"/>
          <w:szCs w:val="28"/>
          <w:shd w:val="clear" w:color="auto" w:fill="FFFFFF"/>
          <w:lang w:bidi="ar"/>
        </w:rPr>
        <w:t>】个工作日内正式签署《债权转让协议》。</w:t>
      </w:r>
    </w:p>
    <w:p w14:paraId="162FB27F">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受让方</w:t>
      </w:r>
      <w:r>
        <w:rPr>
          <w:rFonts w:hint="eastAsia" w:ascii="仿宋" w:hAnsi="仿宋" w:eastAsia="仿宋" w:cs="仿宋"/>
          <w:kern w:val="0"/>
          <w:sz w:val="28"/>
          <w:szCs w:val="28"/>
          <w:shd w:val="clear" w:color="auto" w:fill="FFFFFF"/>
          <w:lang w:val="en-US" w:eastAsia="zh-CN" w:bidi="ar"/>
        </w:rPr>
        <w:t>须</w:t>
      </w:r>
      <w:r>
        <w:rPr>
          <w:rFonts w:hint="eastAsia" w:ascii="仿宋" w:hAnsi="仿宋" w:eastAsia="仿宋" w:cs="仿宋"/>
          <w:kern w:val="0"/>
          <w:sz w:val="28"/>
          <w:szCs w:val="28"/>
          <w:shd w:val="clear" w:color="auto" w:fill="FFFFFF"/>
          <w:lang w:bidi="ar"/>
        </w:rPr>
        <w:t>选择一次性付款</w:t>
      </w:r>
      <w:r>
        <w:rPr>
          <w:rFonts w:hint="eastAsia" w:ascii="仿宋" w:hAnsi="仿宋" w:eastAsia="仿宋" w:cs="仿宋"/>
          <w:kern w:val="0"/>
          <w:sz w:val="28"/>
          <w:szCs w:val="28"/>
          <w:shd w:val="clear" w:color="auto" w:fill="FFFFFF"/>
          <w:lang w:eastAsia="zh-CN" w:bidi="ar"/>
        </w:rPr>
        <w:t>，</w:t>
      </w:r>
      <w:r>
        <w:rPr>
          <w:rFonts w:hint="eastAsia" w:ascii="仿宋" w:hAnsi="仿宋" w:eastAsia="仿宋" w:cs="仿宋"/>
          <w:kern w:val="0"/>
          <w:sz w:val="28"/>
          <w:szCs w:val="28"/>
          <w:shd w:val="clear" w:color="auto" w:fill="FFFFFF"/>
          <w:lang w:bidi="ar"/>
        </w:rPr>
        <w:t>须在签订《债权转让协议》之日起【</w:t>
      </w:r>
      <w:r>
        <w:rPr>
          <w:rFonts w:hint="eastAsia" w:ascii="仿宋" w:hAnsi="仿宋" w:eastAsia="仿宋" w:cs="仿宋"/>
          <w:kern w:val="0"/>
          <w:sz w:val="28"/>
          <w:szCs w:val="28"/>
          <w:shd w:val="clear" w:color="auto" w:fill="FFFFFF"/>
          <w:lang w:val="en-US" w:eastAsia="zh-CN" w:bidi="ar"/>
        </w:rPr>
        <w:t>3</w:t>
      </w:r>
      <w:r>
        <w:rPr>
          <w:rFonts w:hint="eastAsia" w:ascii="仿宋" w:hAnsi="仿宋" w:eastAsia="仿宋" w:cs="仿宋"/>
          <w:kern w:val="0"/>
          <w:sz w:val="28"/>
          <w:szCs w:val="28"/>
          <w:shd w:val="clear" w:color="auto" w:fill="FFFFFF"/>
          <w:lang w:bidi="ar"/>
        </w:rPr>
        <w:t>】个工作日内即需付清全款，竞价保证金自动转为履约保证金。</w:t>
      </w:r>
    </w:p>
    <w:p w14:paraId="1345E7E9">
      <w:pPr>
        <w:widowControl/>
        <w:shd w:val="clear" w:color="auto" w:fill="FFFFFF"/>
        <w:spacing w:line="360" w:lineRule="auto"/>
        <w:jc w:val="left"/>
        <w:rPr>
          <w:rFonts w:ascii="仿宋" w:hAnsi="仿宋" w:eastAsia="仿宋" w:cs="仿宋"/>
          <w:kern w:val="0"/>
          <w:sz w:val="28"/>
          <w:szCs w:val="28"/>
          <w:shd w:val="clear" w:color="auto" w:fill="FFFFFF"/>
          <w:lang w:bidi="ar"/>
        </w:rPr>
      </w:pPr>
    </w:p>
    <w:p w14:paraId="5C0087BC">
      <w:pPr>
        <w:widowControl/>
        <w:shd w:val="clear" w:color="auto" w:fill="FFFFFF"/>
        <w:spacing w:line="360" w:lineRule="auto"/>
        <w:ind w:firstLine="643" w:firstLineChars="200"/>
        <w:jc w:val="left"/>
        <w:outlineLvl w:val="1"/>
        <w:rPr>
          <w:rFonts w:ascii="仿宋" w:hAnsi="仿宋" w:eastAsia="仿宋" w:cs="仿宋"/>
          <w:b/>
          <w:bCs/>
          <w:kern w:val="0"/>
          <w:sz w:val="32"/>
          <w:szCs w:val="32"/>
          <w:shd w:val="clear" w:color="auto" w:fill="FFFFFF"/>
          <w:lang w:bidi="ar"/>
        </w:rPr>
      </w:pPr>
      <w:r>
        <w:rPr>
          <w:rFonts w:hint="eastAsia" w:ascii="仿宋" w:hAnsi="仿宋" w:eastAsia="仿宋" w:cs="仿宋"/>
          <w:b/>
          <w:bCs/>
          <w:kern w:val="0"/>
          <w:sz w:val="32"/>
          <w:szCs w:val="32"/>
          <w:shd w:val="clear" w:color="auto" w:fill="FFFFFF"/>
          <w:lang w:bidi="ar"/>
        </w:rPr>
        <w:t>二、竞买人条件</w:t>
      </w:r>
    </w:p>
    <w:p w14:paraId="3E5EC0E2">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1</w:t>
      </w:r>
      <w:r>
        <w:rPr>
          <w:rFonts w:hint="default" w:ascii="仿宋" w:hAnsi="仿宋" w:eastAsia="仿宋" w:cs="仿宋"/>
          <w:kern w:val="0"/>
          <w:sz w:val="28"/>
          <w:szCs w:val="28"/>
          <w:shd w:val="clear" w:color="auto" w:fill="FFFFFF"/>
          <w:lang w:val="en-US" w:bidi="ar"/>
        </w:rPr>
        <w:t>.</w:t>
      </w:r>
      <w:r>
        <w:rPr>
          <w:rFonts w:hint="eastAsia" w:ascii="仿宋" w:hAnsi="仿宋" w:eastAsia="仿宋" w:cs="仿宋"/>
          <w:kern w:val="0"/>
          <w:sz w:val="28"/>
          <w:szCs w:val="28"/>
          <w:shd w:val="clear" w:color="auto" w:fill="FFFFFF"/>
          <w:lang w:bidi="ar"/>
        </w:rPr>
        <w:t>具备完全民事行为能力的自然人、法人和非法人组织，并应具备一定的资金实力和良好的信誉条件。</w:t>
      </w:r>
    </w:p>
    <w:p w14:paraId="1956495A">
      <w:pPr>
        <w:pStyle w:val="10"/>
        <w:widowControl/>
        <w:spacing w:beforeAutospacing="0" w:afterAutospacing="0" w:line="360" w:lineRule="atLeast"/>
        <w:ind w:firstLine="560" w:firstLineChars="200"/>
        <w:jc w:val="both"/>
        <w:rPr>
          <w:rFonts w:ascii="仿宋_GB2312" w:hAnsi="仿宋" w:eastAsia="仿宋_GB2312" w:cs="仿宋"/>
          <w:color w:val="000000"/>
          <w:sz w:val="28"/>
          <w:szCs w:val="28"/>
        </w:rPr>
      </w:pPr>
      <w:r>
        <w:rPr>
          <w:rFonts w:hint="eastAsia" w:ascii="仿宋" w:hAnsi="仿宋" w:eastAsia="仿宋" w:cs="仿宋"/>
          <w:sz w:val="28"/>
          <w:szCs w:val="28"/>
          <w:shd w:val="clear" w:color="auto" w:fill="FFFFFF"/>
          <w:lang w:bidi="ar"/>
        </w:rPr>
        <w:t>以下人员不得购买或变相购买标的资产：</w:t>
      </w:r>
      <w:r>
        <w:rPr>
          <w:rFonts w:hint="eastAsia" w:ascii="仿宋_GB2312" w:hAnsi="仿宋" w:eastAsia="仿宋_GB2312" w:cs="仿宋"/>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hint="eastAsia" w:ascii="仿宋_GB2312" w:hAnsi="仿宋" w:eastAsia="仿宋_GB2312" w:cs="仿宋"/>
          <w:color w:val="000000"/>
          <w:sz w:val="28"/>
          <w:szCs w:val="28"/>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hint="eastAsia" w:ascii="仿宋_GB2312" w:hAnsi="仿宋" w:eastAsia="仿宋_GB2312" w:cs="仿宋"/>
          <w:color w:val="000000"/>
          <w:sz w:val="28"/>
          <w:szCs w:val="28"/>
        </w:rPr>
        <w:t>相关法律、行政法规及规范性文件中规定的不得购买或变相购买不良资产的主体。</w:t>
      </w:r>
      <w:r>
        <w:rPr>
          <w:rFonts w:hint="eastAsia" w:ascii="仿宋" w:hAnsi="仿宋" w:eastAsia="仿宋" w:cs="仿宋"/>
          <w:sz w:val="28"/>
          <w:szCs w:val="28"/>
          <w:shd w:val="clear" w:color="auto" w:fill="FFFFFF"/>
          <w:lang w:bidi="ar"/>
        </w:rPr>
        <w:t>符合条件的人员应进一步保证不向前述主体或其投资、控制的实体转让债权。</w:t>
      </w:r>
    </w:p>
    <w:p w14:paraId="0F42EB5E">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ascii="仿宋" w:hAnsi="仿宋" w:eastAsia="仿宋" w:cs="仿宋"/>
          <w:kern w:val="0"/>
          <w:sz w:val="28"/>
          <w:szCs w:val="28"/>
          <w:shd w:val="clear" w:color="auto" w:fill="FFFFFF"/>
          <w:lang w:bidi="ar"/>
        </w:rPr>
        <w:t>2</w:t>
      </w:r>
      <w:r>
        <w:rPr>
          <w:rFonts w:ascii="仿宋" w:hAnsi="仿宋" w:eastAsia="仿宋" w:cs="仿宋"/>
          <w:kern w:val="0"/>
          <w:sz w:val="28"/>
          <w:szCs w:val="28"/>
          <w:shd w:val="clear" w:color="auto" w:fill="FFFFFF"/>
          <w:lang w:val="en-US" w:bidi="ar"/>
        </w:rPr>
        <w:t>.</w:t>
      </w:r>
      <w:r>
        <w:rPr>
          <w:rFonts w:ascii="仿宋" w:hAnsi="仿宋" w:eastAsia="仿宋" w:cs="仿宋"/>
          <w:kern w:val="0"/>
          <w:sz w:val="28"/>
          <w:szCs w:val="28"/>
          <w:shd w:val="clear" w:color="auto" w:fill="FFFFFF"/>
          <w:lang w:bidi="ar"/>
        </w:rPr>
        <w:t>竞买人须信誉良好，资金来源合法</w:t>
      </w:r>
      <w:r>
        <w:rPr>
          <w:rFonts w:hint="eastAsia" w:ascii="仿宋" w:hAnsi="仿宋" w:eastAsia="仿宋" w:cs="仿宋"/>
          <w:kern w:val="0"/>
          <w:sz w:val="28"/>
          <w:szCs w:val="28"/>
          <w:shd w:val="clear" w:color="auto" w:fill="FFFFFF"/>
          <w:lang w:bidi="ar"/>
        </w:rPr>
        <w:t>合规，能承担购买债权所带来的风险。</w:t>
      </w:r>
    </w:p>
    <w:p w14:paraId="638F2622">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ascii="仿宋" w:hAnsi="仿宋" w:eastAsia="仿宋" w:cs="仿宋"/>
          <w:kern w:val="0"/>
          <w:sz w:val="28"/>
          <w:szCs w:val="28"/>
          <w:shd w:val="clear" w:color="auto" w:fill="FFFFFF"/>
          <w:lang w:bidi="ar"/>
        </w:rPr>
        <w:t>3</w:t>
      </w:r>
      <w:r>
        <w:rPr>
          <w:rFonts w:ascii="仿宋" w:hAnsi="仿宋" w:eastAsia="仿宋" w:cs="仿宋"/>
          <w:kern w:val="0"/>
          <w:sz w:val="28"/>
          <w:szCs w:val="28"/>
          <w:shd w:val="clear" w:color="auto" w:fill="FFFFFF"/>
          <w:lang w:val="en-US" w:bidi="ar"/>
        </w:rPr>
        <w:t>.</w:t>
      </w:r>
      <w:r>
        <w:rPr>
          <w:rFonts w:ascii="仿宋" w:hAnsi="仿宋" w:eastAsia="仿宋" w:cs="仿宋"/>
          <w:kern w:val="0"/>
          <w:sz w:val="28"/>
          <w:szCs w:val="28"/>
          <w:shd w:val="clear" w:color="auto" w:fill="FFFFFF"/>
          <w:lang w:bidi="ar"/>
        </w:rPr>
        <w:t>竞买人确认竞买人及竞买人股东与标的资产内债务人或担保人无关联关系，并不存在任何形式或可能存在的逃废债情形。</w:t>
      </w:r>
    </w:p>
    <w:p w14:paraId="3FA34EF8">
      <w:pPr>
        <w:widowControl/>
        <w:shd w:val="clear" w:color="auto" w:fill="FFFFFF"/>
        <w:spacing w:line="360" w:lineRule="auto"/>
        <w:ind w:firstLine="560" w:firstLineChars="200"/>
        <w:jc w:val="left"/>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4</w:t>
      </w:r>
      <w:r>
        <w:rPr>
          <w:rFonts w:hint="default" w:ascii="仿宋" w:hAnsi="仿宋" w:eastAsia="仿宋" w:cs="仿宋"/>
          <w:kern w:val="0"/>
          <w:sz w:val="28"/>
          <w:szCs w:val="28"/>
          <w:shd w:val="clear" w:color="auto" w:fill="FFFFFF"/>
          <w:lang w:val="en-US" w:bidi="ar"/>
        </w:rPr>
        <w:t>.</w:t>
      </w:r>
      <w:r>
        <w:rPr>
          <w:rFonts w:hint="eastAsia" w:ascii="仿宋" w:hAnsi="仿宋" w:eastAsia="仿宋" w:cs="仿宋"/>
          <w:kern w:val="0"/>
          <w:sz w:val="28"/>
          <w:szCs w:val="28"/>
          <w:shd w:val="clear" w:color="auto" w:fill="FFFFFF"/>
          <w:lang w:bidi="ar"/>
        </w:rPr>
        <w:t>凡先前参与广州资产管理有限公司组织的任何资产竞价活动且竞价成交但违约（指前次交易最终无法实现的）的自然人、法人和非法人组织，不得以任何形式参与本次竞价。</w:t>
      </w:r>
    </w:p>
    <w:p w14:paraId="49E88794">
      <w:pPr>
        <w:widowControl/>
        <w:shd w:val="clear" w:color="auto" w:fill="FFFFFF"/>
        <w:spacing w:line="360" w:lineRule="auto"/>
        <w:ind w:firstLine="560" w:firstLineChars="200"/>
        <w:jc w:val="left"/>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5</w:t>
      </w:r>
      <w:r>
        <w:rPr>
          <w:rFonts w:hint="default" w:ascii="仿宋" w:hAnsi="仿宋" w:eastAsia="仿宋" w:cs="仿宋"/>
          <w:kern w:val="0"/>
          <w:sz w:val="28"/>
          <w:szCs w:val="28"/>
          <w:shd w:val="clear" w:color="auto" w:fill="FFFFFF"/>
          <w:lang w:val="en-US" w:bidi="ar"/>
        </w:rPr>
        <w:t>.</w:t>
      </w:r>
      <w:r>
        <w:rPr>
          <w:rFonts w:hint="eastAsia" w:ascii="仿宋" w:hAnsi="仿宋" w:eastAsia="仿宋" w:cs="仿宋"/>
          <w:kern w:val="0"/>
          <w:sz w:val="28"/>
          <w:szCs w:val="28"/>
          <w:shd w:val="clear" w:color="auto" w:fill="FFFFFF"/>
          <w:lang w:bidi="ar"/>
        </w:rPr>
        <w:t>买受人应向广州资产管理有限公司提供《资金来源合法性声明函》。</w:t>
      </w:r>
    </w:p>
    <w:p w14:paraId="25E95B82">
      <w:pPr>
        <w:widowControl/>
        <w:shd w:val="clear" w:color="auto" w:fill="FFFFFF"/>
        <w:spacing w:line="360" w:lineRule="auto"/>
        <w:jc w:val="left"/>
        <w:rPr>
          <w:rFonts w:ascii="仿宋" w:hAnsi="仿宋" w:eastAsia="仿宋" w:cs="仿宋"/>
          <w:kern w:val="0"/>
          <w:sz w:val="28"/>
          <w:szCs w:val="28"/>
          <w:shd w:val="clear" w:color="auto" w:fill="FFFFFF"/>
          <w:lang w:bidi="ar"/>
        </w:rPr>
      </w:pPr>
    </w:p>
    <w:p w14:paraId="7B6B7798">
      <w:pPr>
        <w:widowControl/>
        <w:shd w:val="clear" w:color="auto" w:fill="FFFFFF"/>
        <w:spacing w:line="360" w:lineRule="auto"/>
        <w:ind w:firstLine="643" w:firstLineChars="200"/>
        <w:jc w:val="left"/>
        <w:outlineLvl w:val="1"/>
        <w:rPr>
          <w:rFonts w:ascii="仿宋" w:hAnsi="仿宋" w:eastAsia="仿宋" w:cs="仿宋"/>
          <w:kern w:val="0"/>
          <w:sz w:val="28"/>
          <w:szCs w:val="28"/>
          <w:shd w:val="clear" w:color="auto" w:fill="FFFFFF"/>
          <w:lang w:bidi="ar"/>
        </w:rPr>
      </w:pPr>
      <w:r>
        <w:rPr>
          <w:rFonts w:hint="eastAsia" w:ascii="仿宋" w:hAnsi="仿宋" w:eastAsia="仿宋" w:cs="仿宋"/>
          <w:b/>
          <w:bCs/>
          <w:kern w:val="0"/>
          <w:sz w:val="32"/>
          <w:szCs w:val="32"/>
          <w:shd w:val="clear" w:color="auto" w:fill="FFFFFF"/>
          <w:lang w:bidi="ar"/>
        </w:rPr>
        <w:t>三、咨询时间与方式</w:t>
      </w:r>
    </w:p>
    <w:p w14:paraId="248B2EB5">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有意者请自行多方位了解该债权资产情况，广州资产管理有限公司仅提供相关参考资料。自公告日起至</w:t>
      </w:r>
      <w:r>
        <w:rPr>
          <w:rFonts w:ascii="仿宋" w:hAnsi="仿宋" w:eastAsia="仿宋" w:cs="仿宋"/>
          <w:kern w:val="0"/>
          <w:sz w:val="28"/>
          <w:szCs w:val="28"/>
          <w:shd w:val="clear" w:color="auto" w:fill="FFFFFF"/>
          <w:lang w:bidi="ar"/>
        </w:rPr>
        <w:t>202</w:t>
      </w:r>
      <w:r>
        <w:rPr>
          <w:rFonts w:hint="eastAsia" w:ascii="仿宋" w:hAnsi="仿宋" w:eastAsia="仿宋" w:cs="仿宋"/>
          <w:kern w:val="0"/>
          <w:sz w:val="28"/>
          <w:szCs w:val="28"/>
          <w:shd w:val="clear" w:color="auto" w:fill="FFFFFF"/>
          <w:lang w:val="en-US" w:eastAsia="zh-CN" w:bidi="ar"/>
        </w:rPr>
        <w:t>5</w:t>
      </w:r>
      <w:r>
        <w:rPr>
          <w:rFonts w:hint="eastAsia" w:ascii="仿宋" w:hAnsi="仿宋" w:eastAsia="仿宋" w:cs="仿宋"/>
          <w:kern w:val="0"/>
          <w:sz w:val="28"/>
          <w:szCs w:val="28"/>
          <w:shd w:val="clear" w:color="auto" w:fill="FFFFFF"/>
          <w:lang w:bidi="ar"/>
        </w:rPr>
        <w:t>年</w:t>
      </w:r>
      <w:r>
        <w:rPr>
          <w:rFonts w:hint="eastAsia" w:ascii="仿宋" w:hAnsi="仿宋" w:eastAsia="仿宋" w:cs="仿宋"/>
          <w:kern w:val="0"/>
          <w:sz w:val="28"/>
          <w:szCs w:val="28"/>
          <w:shd w:val="clear" w:color="auto" w:fill="FFFFFF"/>
          <w:lang w:val="en-US" w:eastAsia="zh-CN" w:bidi="ar"/>
        </w:rPr>
        <w:t>11</w:t>
      </w:r>
      <w:r>
        <w:rPr>
          <w:rFonts w:hint="eastAsia" w:ascii="仿宋" w:hAnsi="仿宋" w:eastAsia="仿宋" w:cs="仿宋"/>
          <w:kern w:val="0"/>
          <w:sz w:val="28"/>
          <w:szCs w:val="28"/>
          <w:shd w:val="clear" w:color="auto" w:fill="FFFFFF"/>
          <w:lang w:bidi="ar"/>
        </w:rPr>
        <w:t>月</w:t>
      </w:r>
      <w:r>
        <w:rPr>
          <w:rFonts w:hint="eastAsia" w:ascii="仿宋" w:hAnsi="仿宋" w:eastAsia="仿宋" w:cs="仿宋"/>
          <w:kern w:val="0"/>
          <w:sz w:val="28"/>
          <w:szCs w:val="28"/>
          <w:shd w:val="clear" w:color="auto" w:fill="FFFFFF"/>
          <w:lang w:val="en-US" w:eastAsia="zh-CN" w:bidi="ar"/>
        </w:rPr>
        <w:t>22</w:t>
      </w:r>
      <w:r>
        <w:rPr>
          <w:rFonts w:hint="eastAsia" w:ascii="仿宋" w:hAnsi="仿宋" w:eastAsia="仿宋" w:cs="仿宋"/>
          <w:bCs/>
          <w:kern w:val="0"/>
          <w:sz w:val="28"/>
          <w:szCs w:val="28"/>
          <w:shd w:val="clear" w:color="auto" w:fill="FFFFFF"/>
          <w:lang w:bidi="ar"/>
        </w:rPr>
        <w:t>日</w:t>
      </w:r>
      <w:r>
        <w:rPr>
          <w:rFonts w:hint="eastAsia" w:ascii="仿宋" w:hAnsi="仿宋" w:eastAsia="仿宋" w:cs="仿宋"/>
          <w:bCs/>
          <w:kern w:val="0"/>
          <w:sz w:val="28"/>
          <w:szCs w:val="28"/>
          <w:shd w:val="clear" w:color="auto" w:fill="FFFFFF"/>
          <w:lang w:val="en-US" w:eastAsia="zh-CN" w:bidi="ar"/>
        </w:rPr>
        <w:t>17</w:t>
      </w:r>
      <w:r>
        <w:rPr>
          <w:rFonts w:hint="eastAsia" w:ascii="仿宋" w:hAnsi="仿宋" w:eastAsia="仿宋" w:cs="仿宋"/>
          <w:kern w:val="0"/>
          <w:sz w:val="28"/>
          <w:szCs w:val="28"/>
          <w:shd w:val="clear" w:color="auto" w:fill="FFFFFF"/>
          <w:lang w:bidi="ar"/>
        </w:rPr>
        <w:t>时止接受咨询，请拨打咨询电话或直接到广州资产管理有限公司现场咨询。</w:t>
      </w:r>
    </w:p>
    <w:p w14:paraId="111D5DD9">
      <w:pPr>
        <w:autoSpaceDN w:val="0"/>
        <w:spacing w:line="660" w:lineRule="exact"/>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联系人1：</w:t>
      </w:r>
      <w:r>
        <w:rPr>
          <w:rFonts w:hint="eastAsia" w:ascii="仿宋" w:hAnsi="仿宋" w:eastAsia="仿宋"/>
          <w:kern w:val="0"/>
          <w:sz w:val="28"/>
          <w:szCs w:val="28"/>
          <w:highlight w:val="none"/>
          <w:shd w:val="clear" w:color="auto" w:fill="FFFFFF"/>
        </w:rPr>
        <w:t>黄经理</w:t>
      </w:r>
      <w:r>
        <w:rPr>
          <w:rFonts w:hint="eastAsia" w:ascii="仿宋" w:hAnsi="仿宋" w:eastAsia="仿宋" w:cs="仿宋"/>
          <w:kern w:val="0"/>
          <w:sz w:val="28"/>
          <w:szCs w:val="28"/>
          <w:shd w:val="clear" w:color="auto" w:fill="FFFFFF"/>
          <w:lang w:bidi="ar"/>
        </w:rPr>
        <w:t xml:space="preserve"> </w:t>
      </w:r>
      <w:r>
        <w:rPr>
          <w:rFonts w:ascii="仿宋" w:hAnsi="仿宋" w:eastAsia="仿宋" w:cs="仿宋"/>
          <w:kern w:val="0"/>
          <w:sz w:val="28"/>
          <w:szCs w:val="28"/>
          <w:shd w:val="clear" w:color="auto" w:fill="FFFFFF"/>
          <w:lang w:bidi="ar"/>
        </w:rPr>
        <w:t xml:space="preserve">           </w:t>
      </w:r>
      <w:r>
        <w:rPr>
          <w:rFonts w:hint="eastAsia" w:ascii="仿宋" w:hAnsi="仿宋" w:eastAsia="仿宋" w:cs="仿宋"/>
          <w:kern w:val="0"/>
          <w:sz w:val="28"/>
          <w:szCs w:val="28"/>
          <w:shd w:val="clear" w:color="auto" w:fill="FFFFFF"/>
          <w:lang w:bidi="ar"/>
        </w:rPr>
        <w:t>联系电话：</w:t>
      </w:r>
      <w:r>
        <w:rPr>
          <w:rFonts w:hint="eastAsia" w:ascii="仿宋" w:hAnsi="仿宋" w:eastAsia="仿宋"/>
          <w:kern w:val="0"/>
          <w:sz w:val="28"/>
          <w:szCs w:val="28"/>
          <w:highlight w:val="none"/>
          <w:shd w:val="clear" w:color="auto" w:fill="FFFFFF"/>
        </w:rPr>
        <w:t>13392136754</w:t>
      </w:r>
    </w:p>
    <w:p w14:paraId="62158432">
      <w:pPr>
        <w:autoSpaceDN w:val="0"/>
        <w:spacing w:line="660" w:lineRule="exact"/>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联系人2：</w:t>
      </w:r>
      <w:r>
        <w:rPr>
          <w:rFonts w:hint="eastAsia" w:ascii="仿宋" w:hAnsi="仿宋" w:eastAsia="仿宋"/>
          <w:kern w:val="0"/>
          <w:sz w:val="28"/>
          <w:szCs w:val="28"/>
          <w:highlight w:val="none"/>
          <w:shd w:val="clear" w:color="auto" w:fill="FFFFFF"/>
          <w:lang w:val="en-US" w:eastAsia="zh-CN"/>
        </w:rPr>
        <w:t>林经理</w:t>
      </w:r>
      <w:r>
        <w:rPr>
          <w:rFonts w:hint="eastAsia" w:ascii="仿宋" w:hAnsi="仿宋" w:eastAsia="仿宋" w:cs="仿宋"/>
          <w:kern w:val="0"/>
          <w:sz w:val="28"/>
          <w:szCs w:val="28"/>
          <w:shd w:val="clear" w:color="auto" w:fill="FFFFFF"/>
          <w:lang w:bidi="ar"/>
        </w:rPr>
        <w:t xml:space="preserve"> </w:t>
      </w:r>
      <w:r>
        <w:rPr>
          <w:rFonts w:ascii="仿宋" w:hAnsi="仿宋" w:eastAsia="仿宋" w:cs="仿宋"/>
          <w:kern w:val="0"/>
          <w:sz w:val="28"/>
          <w:szCs w:val="28"/>
          <w:shd w:val="clear" w:color="auto" w:fill="FFFFFF"/>
          <w:lang w:bidi="ar"/>
        </w:rPr>
        <w:t xml:space="preserve">           </w:t>
      </w:r>
      <w:r>
        <w:rPr>
          <w:rFonts w:hint="eastAsia" w:ascii="仿宋" w:hAnsi="仿宋" w:eastAsia="仿宋" w:cs="仿宋"/>
          <w:kern w:val="0"/>
          <w:sz w:val="28"/>
          <w:szCs w:val="28"/>
          <w:shd w:val="clear" w:color="auto" w:fill="FFFFFF"/>
          <w:lang w:bidi="ar"/>
        </w:rPr>
        <w:t>联系电话：</w:t>
      </w:r>
      <w:r>
        <w:rPr>
          <w:rFonts w:hint="eastAsia" w:ascii="仿宋" w:hAnsi="仿宋" w:eastAsia="仿宋"/>
          <w:kern w:val="0"/>
          <w:sz w:val="28"/>
          <w:szCs w:val="28"/>
          <w:highlight w:val="none"/>
          <w:shd w:val="clear" w:color="auto" w:fill="FFFFFF"/>
          <w:lang w:eastAsia="zh-CN"/>
        </w:rPr>
        <w:t>18922100444</w:t>
      </w:r>
    </w:p>
    <w:p w14:paraId="0A57F22E">
      <w:pPr>
        <w:autoSpaceDN w:val="0"/>
        <w:spacing w:line="660" w:lineRule="exact"/>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联系地址：广州市天河区珠江东路28号越秀金融大厦58楼</w:t>
      </w:r>
    </w:p>
    <w:p w14:paraId="3690A57B">
      <w:pPr>
        <w:autoSpaceDN w:val="0"/>
        <w:spacing w:line="660" w:lineRule="exact"/>
        <w:rPr>
          <w:rFonts w:ascii="仿宋" w:hAnsi="仿宋" w:eastAsia="仿宋" w:cs="仿宋"/>
          <w:kern w:val="0"/>
          <w:sz w:val="28"/>
          <w:szCs w:val="28"/>
          <w:shd w:val="clear" w:color="auto" w:fill="FFFFFF"/>
          <w:lang w:bidi="ar"/>
        </w:rPr>
      </w:pPr>
    </w:p>
    <w:p w14:paraId="4F035257">
      <w:pPr>
        <w:widowControl/>
        <w:shd w:val="clear" w:color="auto" w:fill="FFFFFF"/>
        <w:spacing w:line="360" w:lineRule="auto"/>
        <w:ind w:firstLine="643" w:firstLineChars="200"/>
        <w:jc w:val="left"/>
        <w:outlineLvl w:val="1"/>
        <w:rPr>
          <w:rFonts w:ascii="仿宋" w:hAnsi="仿宋" w:eastAsia="仿宋" w:cs="仿宋"/>
          <w:b/>
          <w:bCs/>
          <w:kern w:val="0"/>
          <w:sz w:val="32"/>
          <w:szCs w:val="32"/>
          <w:shd w:val="clear" w:color="auto" w:fill="FFFFFF"/>
          <w:lang w:bidi="ar"/>
        </w:rPr>
      </w:pPr>
      <w:r>
        <w:rPr>
          <w:rFonts w:hint="eastAsia" w:ascii="仿宋" w:hAnsi="仿宋" w:eastAsia="仿宋" w:cs="仿宋"/>
          <w:b/>
          <w:bCs/>
          <w:kern w:val="0"/>
          <w:sz w:val="32"/>
          <w:szCs w:val="32"/>
          <w:shd w:val="clear" w:color="auto" w:fill="FFFFFF"/>
          <w:lang w:bidi="ar"/>
        </w:rPr>
        <w:t>四、特别声明</w:t>
      </w:r>
    </w:p>
    <w:p w14:paraId="3FAA9615">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14:paraId="52620942">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（二）因不符合条件参加竞买的，由竞买人自行承担相应的法律责任，并自行承担由此产生的全部责任及后果，包括但不限于费用、风险和损失。</w:t>
      </w:r>
    </w:p>
    <w:p w14:paraId="5C418847">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（三）竞买人成功竞得标的资产后，需承担资产转让过程中所有税、费。如标的资产需办理转让登记手续的，由买受人自行办理，所涉及的一切税费均由买受人承担。</w:t>
      </w:r>
    </w:p>
    <w:p w14:paraId="19B3CF65">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（四）买受人付清成交价款，转让方经买受人要求，可出具成交价款收据，不就成交价款出具相关发票。</w:t>
      </w:r>
    </w:p>
    <w:p w14:paraId="33DBD799">
      <w:pPr>
        <w:widowControl/>
        <w:shd w:val="clear" w:color="auto" w:fill="FFFFFF"/>
        <w:spacing w:line="360" w:lineRule="auto"/>
        <w:jc w:val="left"/>
        <w:rPr>
          <w:rFonts w:ascii="仿宋" w:hAnsi="仿宋" w:eastAsia="仿宋" w:cs="仿宋"/>
          <w:kern w:val="0"/>
          <w:sz w:val="28"/>
          <w:szCs w:val="28"/>
          <w:shd w:val="clear" w:color="auto" w:fill="FFFFFF"/>
          <w:lang w:bidi="ar"/>
        </w:rPr>
      </w:pPr>
    </w:p>
    <w:p w14:paraId="28C31E47">
      <w:pPr>
        <w:widowControl/>
        <w:shd w:val="clear" w:color="auto" w:fill="FFFFFF"/>
        <w:spacing w:line="360" w:lineRule="auto"/>
        <w:ind w:firstLine="643" w:firstLineChars="200"/>
        <w:jc w:val="left"/>
        <w:outlineLvl w:val="1"/>
        <w:rPr>
          <w:rFonts w:ascii="仿宋" w:hAnsi="仿宋" w:eastAsia="仿宋" w:cs="仿宋"/>
          <w:b/>
          <w:bCs/>
          <w:kern w:val="0"/>
          <w:sz w:val="32"/>
          <w:szCs w:val="32"/>
          <w:shd w:val="clear" w:color="auto" w:fill="FFFFFF"/>
          <w:lang w:bidi="ar"/>
        </w:rPr>
      </w:pPr>
      <w:r>
        <w:rPr>
          <w:rFonts w:hint="eastAsia" w:ascii="仿宋" w:hAnsi="仿宋" w:eastAsia="仿宋" w:cs="仿宋"/>
          <w:b/>
          <w:bCs/>
          <w:kern w:val="0"/>
          <w:sz w:val="32"/>
          <w:szCs w:val="32"/>
          <w:shd w:val="clear" w:color="auto" w:fill="FFFFFF"/>
          <w:lang w:bidi="ar"/>
        </w:rPr>
        <w:t>五、其他事项</w:t>
      </w:r>
    </w:p>
    <w:p w14:paraId="47485A6C">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竞买人在正式竞价活动开始前请务必仔细阅读</w:t>
      </w:r>
      <w:r>
        <w:rPr>
          <w:rFonts w:hint="eastAsia" w:ascii="仿宋" w:hAnsi="仿宋" w:eastAsia="仿宋" w:cs="仿宋"/>
          <w:sz w:val="28"/>
          <w:szCs w:val="28"/>
          <w:shd w:val="clear" w:color="auto" w:fill="FFFFFF"/>
        </w:rPr>
        <w:t>广州资产管理有限公司</w:t>
      </w:r>
      <w:r>
        <w:rPr>
          <w:rFonts w:hint="eastAsia" w:ascii="仿宋" w:hAnsi="仿宋" w:eastAsia="仿宋" w:cs="仿宋"/>
          <w:kern w:val="0"/>
          <w:sz w:val="28"/>
          <w:szCs w:val="28"/>
          <w:shd w:val="clear" w:color="auto" w:fill="FFFFFF"/>
          <w:lang w:bidi="ar"/>
        </w:rPr>
        <w:t>的竞买须知、竞买公告等有关文件。本公告其他未尽事宜，请向</w:t>
      </w:r>
      <w:r>
        <w:rPr>
          <w:rFonts w:hint="eastAsia" w:ascii="仿宋" w:hAnsi="仿宋" w:eastAsia="仿宋" w:cs="仿宋"/>
          <w:sz w:val="28"/>
          <w:szCs w:val="28"/>
          <w:shd w:val="clear" w:color="auto" w:fill="FFFFFF"/>
        </w:rPr>
        <w:t>广州资产管理有限公司</w:t>
      </w:r>
      <w:r>
        <w:rPr>
          <w:rFonts w:hint="eastAsia" w:ascii="仿宋" w:hAnsi="仿宋" w:eastAsia="仿宋" w:cs="仿宋"/>
          <w:kern w:val="0"/>
          <w:sz w:val="28"/>
          <w:szCs w:val="28"/>
          <w:shd w:val="clear" w:color="auto" w:fill="FFFFFF"/>
          <w:lang w:bidi="ar"/>
        </w:rPr>
        <w:t>咨询。</w:t>
      </w:r>
    </w:p>
    <w:p w14:paraId="2E00E6A7">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highlight w:val="none"/>
          <w:shd w:val="clear" w:color="auto" w:fill="FFFFFF"/>
          <w:lang w:bidi="ar"/>
        </w:rPr>
        <w:t>此公告在【阿里拍卖】上发布，如对发布内容或资产购买有任何疑问，欢迎拨打咨询电话：【</w:t>
      </w:r>
      <w:r>
        <w:rPr>
          <w:rFonts w:ascii="仿宋" w:hAnsi="仿宋" w:eastAsia="仿宋" w:cs="仿宋"/>
          <w:kern w:val="0"/>
          <w:sz w:val="28"/>
          <w:szCs w:val="28"/>
          <w:highlight w:val="none"/>
          <w:shd w:val="clear" w:color="auto" w:fill="FFFFFF"/>
          <w:lang w:bidi="ar"/>
        </w:rPr>
        <w:t>400-822-2870</w:t>
      </w:r>
      <w:r>
        <w:rPr>
          <w:rFonts w:hint="eastAsia" w:ascii="仿宋" w:hAnsi="仿宋" w:eastAsia="仿宋" w:cs="仿宋"/>
          <w:kern w:val="0"/>
          <w:sz w:val="28"/>
          <w:szCs w:val="28"/>
          <w:highlight w:val="none"/>
          <w:shd w:val="clear" w:color="auto" w:fill="FFFFFF"/>
          <w:lang w:bidi="ar"/>
        </w:rPr>
        <w:t>】。</w:t>
      </w:r>
    </w:p>
    <w:p w14:paraId="210E64FF">
      <w:pPr>
        <w:spacing w:line="360" w:lineRule="auto"/>
        <w:rPr>
          <w:rFonts w:ascii="仿宋" w:hAnsi="仿宋" w:eastAsia="仿宋" w:cs="仿宋"/>
          <w:kern w:val="0"/>
          <w:sz w:val="28"/>
          <w:szCs w:val="28"/>
          <w:shd w:val="clear" w:color="auto" w:fill="FFFFFF"/>
          <w:lang w:bidi="ar"/>
        </w:rPr>
      </w:pPr>
    </w:p>
    <w:p w14:paraId="11985C35">
      <w:pPr>
        <w:spacing w:line="360" w:lineRule="auto"/>
        <w:rPr>
          <w:rFonts w:ascii="仿宋" w:hAnsi="仿宋" w:eastAsia="仿宋" w:cs="仿宋"/>
          <w:kern w:val="0"/>
          <w:sz w:val="28"/>
          <w:szCs w:val="28"/>
          <w:shd w:val="clear" w:color="auto" w:fill="FFFFFF"/>
          <w:lang w:bidi="ar"/>
        </w:rPr>
      </w:pPr>
    </w:p>
    <w:p w14:paraId="0AB551BD">
      <w:pPr>
        <w:spacing w:line="360" w:lineRule="auto"/>
        <w:jc w:val="right"/>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广州资产管理有限公司</w:t>
      </w:r>
    </w:p>
    <w:p w14:paraId="0491E73B">
      <w:pPr>
        <w:spacing w:line="360" w:lineRule="auto"/>
        <w:jc w:val="right"/>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202</w:t>
      </w:r>
      <w:r>
        <w:rPr>
          <w:rFonts w:hint="eastAsia" w:ascii="仿宋" w:hAnsi="仿宋" w:eastAsia="仿宋" w:cs="仿宋"/>
          <w:sz w:val="28"/>
          <w:szCs w:val="28"/>
          <w:shd w:val="clear" w:color="auto" w:fill="FFFFFF"/>
          <w:lang w:val="en-US" w:eastAsia="zh-CN"/>
        </w:rPr>
        <w:t>5</w:t>
      </w:r>
      <w:r>
        <w:rPr>
          <w:rFonts w:hint="eastAsia" w:ascii="仿宋" w:hAnsi="仿宋" w:eastAsia="仿宋" w:cs="仿宋"/>
          <w:sz w:val="28"/>
          <w:szCs w:val="28"/>
          <w:shd w:val="clear" w:color="auto" w:fill="FFFFFF"/>
        </w:rPr>
        <w:t>年</w:t>
      </w:r>
      <w:r>
        <w:rPr>
          <w:rFonts w:hint="eastAsia" w:ascii="仿宋" w:hAnsi="仿宋" w:eastAsia="仿宋" w:cs="仿宋"/>
          <w:sz w:val="28"/>
          <w:szCs w:val="28"/>
          <w:shd w:val="clear" w:color="auto" w:fill="FFFFFF"/>
          <w:lang w:val="en-US" w:eastAsia="zh-CN"/>
        </w:rPr>
        <w:t>11</w:t>
      </w:r>
      <w:r>
        <w:rPr>
          <w:rFonts w:hint="eastAsia" w:ascii="仿宋" w:hAnsi="仿宋" w:eastAsia="仿宋" w:cs="仿宋"/>
          <w:sz w:val="28"/>
          <w:szCs w:val="28"/>
          <w:shd w:val="clear" w:color="auto" w:fill="FFFFFF"/>
        </w:rPr>
        <w:t>月</w:t>
      </w:r>
      <w:r>
        <w:rPr>
          <w:rFonts w:hint="eastAsia" w:ascii="仿宋" w:hAnsi="仿宋" w:eastAsia="仿宋" w:cs="仿宋"/>
          <w:sz w:val="28"/>
          <w:szCs w:val="28"/>
          <w:shd w:val="clear" w:color="auto" w:fill="FFFFFF"/>
          <w:lang w:val="en-US" w:eastAsia="zh-CN"/>
        </w:rPr>
        <w:t>11</w:t>
      </w:r>
      <w:r>
        <w:rPr>
          <w:rFonts w:hint="eastAsia" w:ascii="仿宋" w:hAnsi="仿宋" w:eastAsia="仿宋" w:cs="仿宋"/>
          <w:sz w:val="28"/>
          <w:szCs w:val="28"/>
          <w:shd w:val="clear" w:color="auto" w:fill="FFFFFF"/>
        </w:rPr>
        <w:t>日</w:t>
      </w:r>
    </w:p>
    <w:p w14:paraId="55DD5520">
      <w:pPr>
        <w:spacing w:line="360" w:lineRule="auto"/>
        <w:jc w:val="left"/>
        <w:rPr>
          <w:rFonts w:ascii="仿宋" w:hAnsi="仿宋" w:eastAsia="仿宋" w:cs="仿宋"/>
          <w:sz w:val="28"/>
          <w:szCs w:val="28"/>
          <w:shd w:val="clear" w:color="auto" w:fill="FFFFFF"/>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宋体-简"/>
    <w:panose1 w:val="00000000000000000000"/>
    <w:charset w:val="86"/>
    <w:family w:val="auto"/>
    <w:pitch w:val="default"/>
    <w:sig w:usb0="00000000" w:usb1="00000000" w:usb2="00000000" w:usb3="00000000" w:csb0="00000000" w:csb1="00000000"/>
  </w:font>
  <w:font w:name="Arial">
    <w:panose1 w:val="020B0604020202090204"/>
    <w:charset w:val="00"/>
    <w:family w:val="swiss"/>
    <w:pitch w:val="default"/>
    <w:sig w:usb0="E0000AFF" w:usb1="00007843" w:usb2="00000001" w:usb3="00000000" w:csb0="400001BF" w:csb1="DFF70000"/>
  </w:font>
  <w:font w:name="SimHei">
    <w:altName w:val="黑体-简"/>
    <w:panose1 w:val="02010600030101010101"/>
    <w:charset w:val="00"/>
    <w:family w:val="auto"/>
    <w:pitch w:val="default"/>
    <w:sig w:usb0="00000001" w:usb1="080E0000" w:usb2="00000010" w:usb3="00000000" w:csb0="00040000" w:csb1="00000000"/>
  </w:font>
  <w:font w:name="Courier New">
    <w:panose1 w:val="02070409020205090404"/>
    <w:charset w:val="00"/>
    <w:family w:val="modern"/>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苹方-简"/>
    <w:panose1 w:val="00000000000000000000"/>
    <w:charset w:val="86"/>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仿宋_GB2312">
    <w:altName w:val="方正仿宋_GBK"/>
    <w:panose1 w:val="02010609030101010101"/>
    <w:charset w:val="86"/>
    <w:family w:val="modern"/>
    <w:pitch w:val="default"/>
    <w:sig w:usb0="00000000" w:usb1="00000000" w:usb2="00000010" w:usb3="00000000" w:csb0="00040000" w:csb1="00000000"/>
  </w:font>
  <w:font w:name="宋体-简">
    <w:panose1 w:val="02010800040101010101"/>
    <w:charset w:val="86"/>
    <w:family w:val="auto"/>
    <w:pitch w:val="default"/>
    <w:sig w:usb0="00000001" w:usb1="080F0000" w:usb2="00000000" w:usb3="00000000" w:csb0="00040000" w:csb1="00000000"/>
  </w:font>
  <w:font w:name="方正仿宋_GBK">
    <w:panose1 w:val="02000000000000000000"/>
    <w:charset w:val="86"/>
    <w:family w:val="auto"/>
    <w:pitch w:val="default"/>
    <w:sig w:usb0="A00002BF" w:usb1="38CF7CFA" w:usb2="00082016" w:usb3="00000000" w:csb0="00040001" w:csb1="00000000"/>
  </w:font>
  <w:font w:name="黑体-简">
    <w:panose1 w:val="02000000000000000000"/>
    <w:charset w:val="86"/>
    <w:family w:val="auto"/>
    <w:pitch w:val="default"/>
    <w:sig w:usb0="8000002F" w:usb1="0800004A" w:usb2="00000000" w:usb3="00000000" w:csb0="203E0000" w:csb1="00000000"/>
  </w:font>
  <w:font w:name="Helvetica Neue">
    <w:panose1 w:val="02000503000000020004"/>
    <w:charset w:val="00"/>
    <w:family w:val="auto"/>
    <w:pitch w:val="default"/>
    <w:sig w:usb0="E50002FF" w:usb1="500079DB" w:usb2="00000010" w:usb3="00000000" w:csb0="00000000" w:csb1="00000000"/>
  </w:font>
  <w:font w:name="苹方-简">
    <w:panose1 w:val="020B0400000000000000"/>
    <w:charset w:val="86"/>
    <w:family w:val="auto"/>
    <w:pitch w:val="default"/>
    <w:sig w:usb0="A00002FF" w:usb1="7ACFFDFB" w:usb2="00000017"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9"/>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0C84351"/>
    <w:rsid w:val="00026BE6"/>
    <w:rsid w:val="00027E4E"/>
    <w:rsid w:val="00040C49"/>
    <w:rsid w:val="0005416A"/>
    <w:rsid w:val="000A0715"/>
    <w:rsid w:val="000A11D4"/>
    <w:rsid w:val="000A4128"/>
    <w:rsid w:val="000F2C40"/>
    <w:rsid w:val="0011214D"/>
    <w:rsid w:val="00120D47"/>
    <w:rsid w:val="00125E49"/>
    <w:rsid w:val="00135C73"/>
    <w:rsid w:val="001624E4"/>
    <w:rsid w:val="0016319A"/>
    <w:rsid w:val="001C3D1B"/>
    <w:rsid w:val="002152EA"/>
    <w:rsid w:val="0024289E"/>
    <w:rsid w:val="0024746F"/>
    <w:rsid w:val="00275ED9"/>
    <w:rsid w:val="002C2953"/>
    <w:rsid w:val="00303874"/>
    <w:rsid w:val="00320260"/>
    <w:rsid w:val="00326A50"/>
    <w:rsid w:val="00340788"/>
    <w:rsid w:val="00342FDC"/>
    <w:rsid w:val="00347AF5"/>
    <w:rsid w:val="00371A61"/>
    <w:rsid w:val="003C3C19"/>
    <w:rsid w:val="003D715D"/>
    <w:rsid w:val="003F0D81"/>
    <w:rsid w:val="00422196"/>
    <w:rsid w:val="00434CDA"/>
    <w:rsid w:val="00491D0C"/>
    <w:rsid w:val="004A1EA0"/>
    <w:rsid w:val="004A71D2"/>
    <w:rsid w:val="004C34BA"/>
    <w:rsid w:val="004F6C7B"/>
    <w:rsid w:val="00502939"/>
    <w:rsid w:val="00504A8D"/>
    <w:rsid w:val="00532A79"/>
    <w:rsid w:val="005362C0"/>
    <w:rsid w:val="00541C1A"/>
    <w:rsid w:val="00547267"/>
    <w:rsid w:val="005617B4"/>
    <w:rsid w:val="00597593"/>
    <w:rsid w:val="005D2208"/>
    <w:rsid w:val="005E6FE9"/>
    <w:rsid w:val="005F78D1"/>
    <w:rsid w:val="0068628B"/>
    <w:rsid w:val="00687227"/>
    <w:rsid w:val="006B55F1"/>
    <w:rsid w:val="006D6B22"/>
    <w:rsid w:val="006E6A61"/>
    <w:rsid w:val="006E7E8C"/>
    <w:rsid w:val="006F0E8E"/>
    <w:rsid w:val="006F1BA2"/>
    <w:rsid w:val="00715908"/>
    <w:rsid w:val="00733E9C"/>
    <w:rsid w:val="007578B5"/>
    <w:rsid w:val="007726B9"/>
    <w:rsid w:val="00776C5F"/>
    <w:rsid w:val="00790DB7"/>
    <w:rsid w:val="007A58ED"/>
    <w:rsid w:val="007D10EA"/>
    <w:rsid w:val="007D1C8A"/>
    <w:rsid w:val="007F7AA1"/>
    <w:rsid w:val="00811153"/>
    <w:rsid w:val="00852678"/>
    <w:rsid w:val="008844B5"/>
    <w:rsid w:val="00921CBA"/>
    <w:rsid w:val="0092258C"/>
    <w:rsid w:val="0094690C"/>
    <w:rsid w:val="00971B27"/>
    <w:rsid w:val="009A621D"/>
    <w:rsid w:val="009B706B"/>
    <w:rsid w:val="009D18EF"/>
    <w:rsid w:val="009E7452"/>
    <w:rsid w:val="00A05099"/>
    <w:rsid w:val="00A175D8"/>
    <w:rsid w:val="00A1797B"/>
    <w:rsid w:val="00A2169A"/>
    <w:rsid w:val="00A814D6"/>
    <w:rsid w:val="00AE1DB8"/>
    <w:rsid w:val="00AF1AFC"/>
    <w:rsid w:val="00B37BAA"/>
    <w:rsid w:val="00B45B38"/>
    <w:rsid w:val="00B85223"/>
    <w:rsid w:val="00B94B35"/>
    <w:rsid w:val="00C12DBD"/>
    <w:rsid w:val="00C174BE"/>
    <w:rsid w:val="00C17ECA"/>
    <w:rsid w:val="00C33844"/>
    <w:rsid w:val="00C759D5"/>
    <w:rsid w:val="00C84351"/>
    <w:rsid w:val="00C93962"/>
    <w:rsid w:val="00CA2BAB"/>
    <w:rsid w:val="00CB450F"/>
    <w:rsid w:val="00CC4AA7"/>
    <w:rsid w:val="00CE5DE0"/>
    <w:rsid w:val="00D81B2D"/>
    <w:rsid w:val="00D91985"/>
    <w:rsid w:val="00DA4E1A"/>
    <w:rsid w:val="00DB07D7"/>
    <w:rsid w:val="00DD326E"/>
    <w:rsid w:val="00E43999"/>
    <w:rsid w:val="00E63C10"/>
    <w:rsid w:val="00E77360"/>
    <w:rsid w:val="00E84A62"/>
    <w:rsid w:val="00EA7617"/>
    <w:rsid w:val="00EB46B7"/>
    <w:rsid w:val="00EB589E"/>
    <w:rsid w:val="00F17B1B"/>
    <w:rsid w:val="00F4260F"/>
    <w:rsid w:val="00F43E93"/>
    <w:rsid w:val="00F4660C"/>
    <w:rsid w:val="00F70DF4"/>
    <w:rsid w:val="00FB706C"/>
    <w:rsid w:val="00FE1ADD"/>
    <w:rsid w:val="00FF34F2"/>
    <w:rsid w:val="015E3CF0"/>
    <w:rsid w:val="01E010D7"/>
    <w:rsid w:val="022D54AA"/>
    <w:rsid w:val="03230331"/>
    <w:rsid w:val="042E00EA"/>
    <w:rsid w:val="04EC217E"/>
    <w:rsid w:val="0B60735B"/>
    <w:rsid w:val="0BE13B5B"/>
    <w:rsid w:val="0C311516"/>
    <w:rsid w:val="0C3F61CA"/>
    <w:rsid w:val="0D8902B9"/>
    <w:rsid w:val="0DD06FD4"/>
    <w:rsid w:val="0E1B11A4"/>
    <w:rsid w:val="0F3F6101"/>
    <w:rsid w:val="0F6621D7"/>
    <w:rsid w:val="0FEB11EC"/>
    <w:rsid w:val="106058DB"/>
    <w:rsid w:val="112827AB"/>
    <w:rsid w:val="11310E00"/>
    <w:rsid w:val="13977280"/>
    <w:rsid w:val="13A1058E"/>
    <w:rsid w:val="13BE3BC3"/>
    <w:rsid w:val="16016597"/>
    <w:rsid w:val="172729B8"/>
    <w:rsid w:val="177E824F"/>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5FA4B4"/>
    <w:rsid w:val="3BD2020B"/>
    <w:rsid w:val="3C773EA6"/>
    <w:rsid w:val="3DA01A9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D25739"/>
    <w:rsid w:val="52DC080A"/>
    <w:rsid w:val="52EF7DA2"/>
    <w:rsid w:val="53015AAC"/>
    <w:rsid w:val="530843A0"/>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9D1612"/>
    <w:rsid w:val="76AC0645"/>
    <w:rsid w:val="770E65BD"/>
    <w:rsid w:val="773E5638"/>
    <w:rsid w:val="77FBC055"/>
    <w:rsid w:val="78991545"/>
    <w:rsid w:val="78DD10A7"/>
    <w:rsid w:val="7913209F"/>
    <w:rsid w:val="795B2413"/>
    <w:rsid w:val="79EC1D2A"/>
    <w:rsid w:val="7A501EC2"/>
    <w:rsid w:val="7B0A3221"/>
    <w:rsid w:val="7B7C36F5"/>
    <w:rsid w:val="7BEF208B"/>
    <w:rsid w:val="7C2621D3"/>
    <w:rsid w:val="7C703294"/>
    <w:rsid w:val="7C7FF7ED"/>
    <w:rsid w:val="7CA10588"/>
    <w:rsid w:val="7CFC41E5"/>
    <w:rsid w:val="7D085C71"/>
    <w:rsid w:val="7D622DC3"/>
    <w:rsid w:val="7F0F5650"/>
    <w:rsid w:val="7F0F6D9A"/>
    <w:rsid w:val="7F742254"/>
    <w:rsid w:val="7F7A35C0"/>
    <w:rsid w:val="7FDF6536"/>
    <w:rsid w:val="CEF5C4A2"/>
    <w:rsid w:val="EB7C33F3"/>
    <w:rsid w:val="EDF59392"/>
    <w:rsid w:val="F39902F3"/>
    <w:rsid w:val="F7FD3C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SimSun" w:cs="Times New Roman"/>
      <w:kern w:val="2"/>
      <w:sz w:val="21"/>
      <w:szCs w:val="24"/>
      <w:lang w:val="en-US" w:eastAsia="zh-CN"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Balloon Text"/>
    <w:basedOn w:val="1"/>
    <w:link w:val="14"/>
    <w:qFormat/>
    <w:uiPriority w:val="0"/>
    <w:rPr>
      <w:sz w:val="18"/>
      <w:szCs w:val="18"/>
    </w:rPr>
  </w:style>
  <w:style w:type="character" w:styleId="5">
    <w:name w:val="annotation reference"/>
    <w:basedOn w:val="2"/>
    <w:qFormat/>
    <w:uiPriority w:val="0"/>
    <w:rPr>
      <w:sz w:val="21"/>
      <w:szCs w:val="21"/>
    </w:rPr>
  </w:style>
  <w:style w:type="paragraph" w:styleId="6">
    <w:name w:val="annotation text"/>
    <w:basedOn w:val="1"/>
    <w:link w:val="15"/>
    <w:qFormat/>
    <w:uiPriority w:val="0"/>
    <w:pPr>
      <w:jc w:val="left"/>
    </w:pPr>
  </w:style>
  <w:style w:type="paragraph" w:styleId="7">
    <w:name w:val="annotation subject"/>
    <w:basedOn w:val="6"/>
    <w:next w:val="6"/>
    <w:link w:val="16"/>
    <w:qFormat/>
    <w:uiPriority w:val="0"/>
    <w:rPr>
      <w:b/>
      <w:bCs/>
    </w:rPr>
  </w:style>
  <w:style w:type="paragraph" w:styleId="8">
    <w:name w:val="footer"/>
    <w:basedOn w:val="1"/>
    <w:link w:val="13"/>
    <w:qFormat/>
    <w:uiPriority w:val="0"/>
    <w:pPr>
      <w:tabs>
        <w:tab w:val="center" w:pos="4153"/>
        <w:tab w:val="right" w:pos="8306"/>
      </w:tabs>
      <w:snapToGrid w:val="0"/>
      <w:jc w:val="left"/>
    </w:pPr>
    <w:rPr>
      <w:sz w:val="18"/>
      <w:szCs w:val="18"/>
    </w:rPr>
  </w:style>
  <w:style w:type="paragraph" w:styleId="9">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100" w:beforeAutospacing="1" w:after="100" w:afterAutospacing="1"/>
      <w:jc w:val="left"/>
    </w:pPr>
    <w:rPr>
      <w:kern w:val="0"/>
      <w:sz w:val="24"/>
    </w:rPr>
  </w:style>
  <w:style w:type="table" w:styleId="11">
    <w:name w:val="Table Grid"/>
    <w:basedOn w:val="3"/>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页眉 字符"/>
    <w:basedOn w:val="2"/>
    <w:link w:val="9"/>
    <w:qFormat/>
    <w:uiPriority w:val="0"/>
    <w:rPr>
      <w:rFonts w:ascii="Calibri" w:hAnsi="Calibri"/>
      <w:kern w:val="2"/>
      <w:sz w:val="18"/>
      <w:szCs w:val="18"/>
    </w:rPr>
  </w:style>
  <w:style w:type="character" w:customStyle="1" w:styleId="13">
    <w:name w:val="页脚 字符"/>
    <w:basedOn w:val="2"/>
    <w:link w:val="8"/>
    <w:qFormat/>
    <w:uiPriority w:val="0"/>
    <w:rPr>
      <w:rFonts w:ascii="Calibri" w:hAnsi="Calibri"/>
      <w:kern w:val="2"/>
      <w:sz w:val="18"/>
      <w:szCs w:val="18"/>
    </w:rPr>
  </w:style>
  <w:style w:type="character" w:customStyle="1" w:styleId="14">
    <w:name w:val="批注框文本 字符"/>
    <w:basedOn w:val="2"/>
    <w:link w:val="4"/>
    <w:qFormat/>
    <w:uiPriority w:val="0"/>
    <w:rPr>
      <w:rFonts w:ascii="Calibri" w:hAnsi="Calibri"/>
      <w:kern w:val="2"/>
      <w:sz w:val="18"/>
      <w:szCs w:val="18"/>
    </w:rPr>
  </w:style>
  <w:style w:type="character" w:customStyle="1" w:styleId="15">
    <w:name w:val="批注文字 字符"/>
    <w:basedOn w:val="2"/>
    <w:link w:val="6"/>
    <w:qFormat/>
    <w:uiPriority w:val="0"/>
    <w:rPr>
      <w:rFonts w:ascii="Calibri" w:hAnsi="Calibri"/>
      <w:kern w:val="2"/>
      <w:sz w:val="21"/>
      <w:szCs w:val="24"/>
    </w:rPr>
  </w:style>
  <w:style w:type="character" w:customStyle="1" w:styleId="16">
    <w:name w:val="批注主题 字符"/>
    <w:basedOn w:val="15"/>
    <w:link w:val="7"/>
    <w:qFormat/>
    <w:uiPriority w:val="0"/>
    <w:rPr>
      <w:rFonts w:ascii="Calibri" w:hAnsi="Calibri"/>
      <w:b/>
      <w:bCs/>
      <w:kern w:val="2"/>
      <w:sz w:val="21"/>
      <w:szCs w:val="24"/>
    </w:rPr>
  </w:style>
  <w:style w:type="paragraph" w:customStyle="1" w:styleId="17">
    <w:name w:val="修订1"/>
    <w:hidden/>
    <w:semiHidden/>
    <w:qFormat/>
    <w:uiPriority w:val="99"/>
    <w:rPr>
      <w:rFonts w:ascii="Calibri" w:hAnsi="Calibri" w:eastAsia="SimSun" w:cs="Times New Roman"/>
      <w:kern w:val="2"/>
      <w:sz w:val="21"/>
      <w:szCs w:val="24"/>
      <w:lang w:val="en-US" w:eastAsia="zh-CN" w:bidi="ar-SA"/>
    </w:rPr>
  </w:style>
  <w:style w:type="paragraph" w:customStyle="1" w:styleId="18">
    <w:name w:val="修订2"/>
    <w:hidden/>
    <w:unhideWhenUsed/>
    <w:qFormat/>
    <w:uiPriority w:val="99"/>
    <w:rPr>
      <w:rFonts w:ascii="Calibri" w:hAnsi="Calibri" w:eastAsia="SimSun" w:cs="Times New Roman"/>
      <w:kern w:val="2"/>
      <w:sz w:val="21"/>
      <w:szCs w:val="24"/>
      <w:lang w:val="en-US" w:eastAsia="zh-CN" w:bidi="ar-SA"/>
    </w:rPr>
  </w:style>
  <w:style w:type="paragraph" w:customStyle="1" w:styleId="19">
    <w:name w:val="修订3"/>
    <w:hidden/>
    <w:unhideWhenUsed/>
    <w:qFormat/>
    <w:uiPriority w:val="99"/>
    <w:rPr>
      <w:rFonts w:ascii="Calibri" w:hAnsi="Calibri" w:eastAsia="SimSun"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pn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11.pn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12</Pages>
  <Words>576</Words>
  <Characters>3284</Characters>
  <Lines>27</Lines>
  <Paragraphs>7</Paragraphs>
  <TotalTime>61</TotalTime>
  <ScaleCrop>false</ScaleCrop>
  <LinksUpToDate>false</LinksUpToDate>
  <CharactersWithSpaces>3853</CharactersWithSpaces>
  <Application>WPS Office_12.1.22226.22226_F1E327BC-269C-435d-A152-05C5408002CA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2020-03-20T18:16:00Z</dcterms:created>
  <dc:creator>Administrator</dc:creator>
  <cp:lastModifiedBy>oliviahuang</cp:lastModifiedBy>
  <cp:lastPrinted>2024-09-24T17:04:00Z</cp:lastPrinted>
  <dcterms:modified xsi:type="dcterms:W3CDTF">2025-11-11T18:17:44Z</dcterms:modified>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1033-12.1.22226.22226</vt:lpwstr>
  </property>
  <property fmtid="{D5CDD505-2E9C-101B-9397-08002B2CF9AE}" pid="3" name="ICV">
    <vt:lpwstr>76F462D5D9F04EFD82AD0DB9D148F398_13</vt:lpwstr>
  </property>
  <property fmtid="{D5CDD505-2E9C-101B-9397-08002B2CF9AE}" pid="4" name="KSOTemplateDocerSaveRecord">
    <vt:lpwstr>eyJoZGlkIjoiMThlODIxNzViMDU2NThkNTlhM2RlYzIyN2M2YmFmYWMiLCJ1c2VySWQiOiI5NTIyNzg1NDEifQ==</vt:lpwstr>
  </property>
</Properties>
</file>